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0CDAE" w14:textId="77777777" w:rsidR="004B474E" w:rsidRDefault="004B474E" w:rsidP="004B474E">
      <w:pPr>
        <w:spacing w:after="0" w:line="276" w:lineRule="auto"/>
        <w:jc w:val="both"/>
        <w:rPr>
          <w:rFonts w:ascii="Arial" w:eastAsia="Calibri" w:hAnsi="Arial" w:cs="Arial"/>
        </w:rPr>
      </w:pPr>
      <w:r w:rsidRPr="004B474E">
        <w:rPr>
          <w:rFonts w:ascii="Arial" w:eastAsia="Calibri" w:hAnsi="Arial" w:cs="Arial"/>
        </w:rPr>
        <w:t>DAK-SW.152.5.2026</w:t>
      </w:r>
      <w:r w:rsidRPr="004B474E">
        <w:rPr>
          <w:rFonts w:ascii="Arial" w:eastAsia="Calibri" w:hAnsi="Arial" w:cs="Arial"/>
        </w:rPr>
        <w:tab/>
      </w:r>
      <w:r w:rsidRPr="004B474E">
        <w:rPr>
          <w:rFonts w:ascii="Arial" w:eastAsia="Calibri" w:hAnsi="Arial" w:cs="Arial"/>
        </w:rPr>
        <w:tab/>
      </w:r>
      <w:r w:rsidRPr="004B474E">
        <w:rPr>
          <w:rFonts w:ascii="Arial" w:eastAsia="Calibri" w:hAnsi="Arial" w:cs="Arial"/>
        </w:rPr>
        <w:tab/>
      </w:r>
      <w:r w:rsidRPr="004B474E">
        <w:rPr>
          <w:rFonts w:ascii="Arial" w:eastAsia="Calibri" w:hAnsi="Arial" w:cs="Arial"/>
        </w:rPr>
        <w:tab/>
        <w:t xml:space="preserve">                                     </w:t>
      </w:r>
    </w:p>
    <w:p w14:paraId="727F3E77" w14:textId="1FF085C5" w:rsidR="004B474E" w:rsidRDefault="004B474E" w:rsidP="004B474E">
      <w:pPr>
        <w:spacing w:after="0" w:line="276" w:lineRule="auto"/>
        <w:jc w:val="both"/>
        <w:rPr>
          <w:rFonts w:ascii="Arial" w:eastAsia="Calibri" w:hAnsi="Arial" w:cs="Arial"/>
        </w:rPr>
      </w:pPr>
      <w:r w:rsidRPr="004B474E">
        <w:rPr>
          <w:rFonts w:ascii="Arial" w:eastAsia="Calibri" w:hAnsi="Arial" w:cs="Arial"/>
        </w:rPr>
        <w:t xml:space="preserve">Gdańsk, </w:t>
      </w:r>
      <w:r>
        <w:rPr>
          <w:rFonts w:ascii="Arial" w:eastAsia="Calibri" w:hAnsi="Arial" w:cs="Arial"/>
        </w:rPr>
        <w:t>17</w:t>
      </w:r>
      <w:r w:rsidRPr="004B474E">
        <w:rPr>
          <w:rFonts w:ascii="Arial" w:eastAsia="Calibri" w:hAnsi="Arial" w:cs="Arial"/>
        </w:rPr>
        <w:t xml:space="preserve"> lutego 2026 r. </w:t>
      </w:r>
    </w:p>
    <w:p w14:paraId="69488D30" w14:textId="77777777" w:rsidR="004B474E" w:rsidRDefault="004B474E" w:rsidP="004B474E">
      <w:pPr>
        <w:spacing w:after="0" w:line="276" w:lineRule="auto"/>
        <w:jc w:val="both"/>
        <w:rPr>
          <w:rFonts w:ascii="Arial" w:eastAsia="Calibri" w:hAnsi="Arial" w:cs="Arial"/>
        </w:rPr>
      </w:pPr>
    </w:p>
    <w:p w14:paraId="78D43658" w14:textId="77777777" w:rsidR="004B474E" w:rsidRPr="004B474E" w:rsidRDefault="004B474E" w:rsidP="004B474E">
      <w:pPr>
        <w:spacing w:after="0" w:line="276" w:lineRule="auto"/>
        <w:jc w:val="both"/>
        <w:rPr>
          <w:rFonts w:ascii="Arial" w:eastAsia="Calibri" w:hAnsi="Arial" w:cs="Arial"/>
        </w:rPr>
      </w:pPr>
      <w:r w:rsidRPr="004B474E">
        <w:rPr>
          <w:rFonts w:ascii="Arial" w:eastAsia="Calibri" w:hAnsi="Arial" w:cs="Arial"/>
        </w:rPr>
        <w:t xml:space="preserve">Pan Tomasz </w:t>
      </w:r>
      <w:proofErr w:type="spellStart"/>
      <w:r w:rsidRPr="004B474E">
        <w:rPr>
          <w:rFonts w:ascii="Arial" w:eastAsia="Calibri" w:hAnsi="Arial" w:cs="Arial"/>
        </w:rPr>
        <w:t>Gomólak</w:t>
      </w:r>
      <w:proofErr w:type="spellEnd"/>
    </w:p>
    <w:p w14:paraId="0035BB25" w14:textId="77777777" w:rsidR="004B474E" w:rsidRPr="004B474E" w:rsidRDefault="004B474E" w:rsidP="004B474E">
      <w:pPr>
        <w:spacing w:after="0" w:line="276" w:lineRule="auto"/>
        <w:jc w:val="both"/>
        <w:rPr>
          <w:rFonts w:ascii="Arial" w:eastAsia="Calibri" w:hAnsi="Arial" w:cs="Arial"/>
        </w:rPr>
      </w:pPr>
      <w:r w:rsidRPr="004B474E">
        <w:rPr>
          <w:rFonts w:ascii="Arial" w:eastAsia="Calibri" w:hAnsi="Arial" w:cs="Arial"/>
        </w:rPr>
        <w:t>Prezes Zarządu</w:t>
      </w:r>
    </w:p>
    <w:p w14:paraId="28592095" w14:textId="77777777" w:rsidR="004B474E" w:rsidRPr="004B474E" w:rsidRDefault="004B474E" w:rsidP="004B474E">
      <w:pPr>
        <w:spacing w:after="0" w:line="276" w:lineRule="auto"/>
        <w:jc w:val="both"/>
        <w:rPr>
          <w:rFonts w:ascii="Arial" w:eastAsia="Calibri" w:hAnsi="Arial" w:cs="Arial"/>
        </w:rPr>
      </w:pPr>
      <w:r w:rsidRPr="004B474E">
        <w:rPr>
          <w:rFonts w:ascii="Arial" w:eastAsia="Calibri" w:hAnsi="Arial" w:cs="Arial"/>
        </w:rPr>
        <w:t>Warmińsko-Mazurskiego Centrum Pomocy Dzieciom w Elblągu</w:t>
      </w:r>
    </w:p>
    <w:p w14:paraId="7E43B910" w14:textId="77777777" w:rsidR="004B474E" w:rsidRPr="004B474E" w:rsidRDefault="004B474E" w:rsidP="004B474E">
      <w:pPr>
        <w:spacing w:after="0" w:line="276" w:lineRule="auto"/>
        <w:jc w:val="both"/>
        <w:rPr>
          <w:rFonts w:ascii="Arial" w:eastAsia="Calibri" w:hAnsi="Arial" w:cs="Arial"/>
        </w:rPr>
      </w:pPr>
      <w:r w:rsidRPr="004B474E">
        <w:rPr>
          <w:rFonts w:ascii="Arial" w:eastAsia="Calibri" w:hAnsi="Arial" w:cs="Arial"/>
        </w:rPr>
        <w:t>Plac Dworcowy 2 skr. 59</w:t>
      </w:r>
    </w:p>
    <w:p w14:paraId="071F873D" w14:textId="77777777" w:rsidR="004B474E" w:rsidRPr="004B474E" w:rsidRDefault="004B474E" w:rsidP="004B474E">
      <w:pPr>
        <w:spacing w:after="0" w:line="276" w:lineRule="auto"/>
        <w:jc w:val="both"/>
        <w:rPr>
          <w:rFonts w:ascii="Arial" w:eastAsia="Calibri" w:hAnsi="Arial" w:cs="Arial"/>
        </w:rPr>
      </w:pPr>
      <w:r w:rsidRPr="004B474E">
        <w:rPr>
          <w:rFonts w:ascii="Arial" w:eastAsia="Calibri" w:hAnsi="Arial" w:cs="Arial"/>
        </w:rPr>
        <w:t>82-310 Elbląg</w:t>
      </w:r>
    </w:p>
    <w:p w14:paraId="6B463EA8" w14:textId="77777777" w:rsidR="004B474E" w:rsidRPr="004B474E" w:rsidRDefault="004B474E" w:rsidP="004B474E">
      <w:pPr>
        <w:spacing w:after="0" w:line="276" w:lineRule="auto"/>
        <w:jc w:val="both"/>
        <w:rPr>
          <w:rFonts w:ascii="Arial" w:eastAsia="Calibri" w:hAnsi="Arial" w:cs="Arial"/>
        </w:rPr>
      </w:pPr>
    </w:p>
    <w:p w14:paraId="774567C8" w14:textId="3CAB53D3" w:rsidR="004B474E" w:rsidRDefault="004B474E"/>
    <w:p w14:paraId="13BB9C59" w14:textId="1F69BBE1" w:rsidR="004B474E" w:rsidRDefault="004B474E"/>
    <w:p w14:paraId="36596D66" w14:textId="1FC6A08C" w:rsidR="004B474E" w:rsidRDefault="004B474E"/>
    <w:p w14:paraId="6D7DB2E6" w14:textId="77777777" w:rsidR="004B474E" w:rsidRPr="004B474E" w:rsidRDefault="004B474E" w:rsidP="004B474E">
      <w:pPr>
        <w:spacing w:after="0" w:line="360" w:lineRule="auto"/>
        <w:rPr>
          <w:rFonts w:ascii="Arial" w:eastAsia="Calibri" w:hAnsi="Arial" w:cs="Arial"/>
        </w:rPr>
      </w:pPr>
      <w:r w:rsidRPr="004B474E">
        <w:rPr>
          <w:rFonts w:ascii="Arial" w:eastAsia="Calibri" w:hAnsi="Arial" w:cs="Arial"/>
        </w:rPr>
        <w:t>Odpowiadając na petycję, doręczoną do Urzędu Marszałkowskiego Województwa Pomorskiego 16 stycznia 2026 r., w sprawie wprowadzenia dla Pomorskiej Kolei Metropolitalnej „Pomorskiego Metropolitalnego biletu dla Zasłużonych Honorowych Dawców Krwi”, informuję, co następuje.</w:t>
      </w:r>
    </w:p>
    <w:p w14:paraId="0A4518FE" w14:textId="77777777" w:rsidR="004B474E" w:rsidRPr="004B474E" w:rsidRDefault="004B474E" w:rsidP="004B474E">
      <w:pPr>
        <w:spacing w:after="0" w:line="360" w:lineRule="auto"/>
        <w:rPr>
          <w:rFonts w:ascii="Arial" w:eastAsia="Calibri" w:hAnsi="Arial" w:cs="Arial"/>
        </w:rPr>
      </w:pPr>
      <w:r w:rsidRPr="004B474E">
        <w:rPr>
          <w:rFonts w:ascii="Arial" w:eastAsia="Calibri" w:hAnsi="Arial" w:cs="Arial"/>
        </w:rPr>
        <w:t>Samorząd Województwa Pomorskiego zdaje sobie sprawę, jak ważnym aspektem życia społecznego jest honorowe oddawanie krwi polegające na bezinteresownym przekazywaniu przez osoby zdrowe chorym wymagającym transfuzji jedynego w swoim rodzaju leku, jakim jest krew. Każda taka pomoc powinna być doceniana, także przez odpowiednio dopasowane udogodnienia i przywileje.</w:t>
      </w:r>
    </w:p>
    <w:p w14:paraId="17DC906F" w14:textId="77777777" w:rsidR="004B474E" w:rsidRPr="004B474E" w:rsidRDefault="004B474E" w:rsidP="004B474E">
      <w:pPr>
        <w:spacing w:after="0" w:line="360" w:lineRule="auto"/>
        <w:rPr>
          <w:rFonts w:ascii="Arial" w:eastAsia="Calibri" w:hAnsi="Arial" w:cs="Arial"/>
        </w:rPr>
      </w:pPr>
      <w:r w:rsidRPr="004B474E">
        <w:rPr>
          <w:rFonts w:ascii="Arial" w:eastAsia="Calibri" w:hAnsi="Arial" w:cs="Arial"/>
        </w:rPr>
        <w:t xml:space="preserve">Honorowym Dawcom Krwi przysługują w Polsce przywileje i ulgi, które stanowią formę uznania za ich bezinteresowną pomoc. Należą do nich m.in. dzień wolny od pracy w dniu oddania krwi i w dniu następnym, posiłek regeneracyjny, ulgi podatkowe, prawo </w:t>
      </w:r>
      <w:r w:rsidRPr="004B474E">
        <w:rPr>
          <w:rFonts w:ascii="Arial" w:eastAsia="Calibri" w:hAnsi="Arial" w:cs="Arial"/>
        </w:rPr>
        <w:br/>
        <w:t xml:space="preserve">do bezpłatnych badań diagnostycznych wykonywanych przy oddawaniu krwi, pierwszeństwo w kolejkach do lekarzy specjalistów w publicznych placówkach ochrony zdrowia, prawo </w:t>
      </w:r>
      <w:r w:rsidRPr="004B474E">
        <w:rPr>
          <w:rFonts w:ascii="Arial" w:eastAsia="Calibri" w:hAnsi="Arial" w:cs="Arial"/>
        </w:rPr>
        <w:br/>
        <w:t xml:space="preserve">do bezpłatnych leków refundowanych przez Narodowy Fundusz Zdrowia, czy też prawo </w:t>
      </w:r>
      <w:r w:rsidRPr="004B474E">
        <w:rPr>
          <w:rFonts w:ascii="Arial" w:eastAsia="Calibri" w:hAnsi="Arial" w:cs="Arial"/>
        </w:rPr>
        <w:br/>
        <w:t xml:space="preserve">do bezpłatnych przejazdów komunikacją miejską w wybranych miastach (zasady te różnią się w zależności od miasta i są ustalane przez lokalne władze). </w:t>
      </w:r>
    </w:p>
    <w:p w14:paraId="039DA2BB" w14:textId="77777777" w:rsidR="004B474E" w:rsidRPr="004B474E" w:rsidRDefault="004B474E" w:rsidP="004B474E">
      <w:pPr>
        <w:spacing w:after="0" w:line="360" w:lineRule="auto"/>
        <w:rPr>
          <w:rFonts w:ascii="Arial" w:eastAsia="Calibri" w:hAnsi="Arial" w:cs="Arial"/>
        </w:rPr>
      </w:pPr>
      <w:r w:rsidRPr="004B474E">
        <w:rPr>
          <w:rFonts w:ascii="Arial" w:eastAsia="Calibri" w:hAnsi="Arial" w:cs="Arial"/>
        </w:rPr>
        <w:t xml:space="preserve">Wprowadzenie dodatkowej ulgi w postaci zniżki na przejazdy kolejowe dla Honorowych Dawców Krwi byłoby kolejną formą uznania ich bezinteresownej pomocy. Samorząd Województwa Pomorskiego stoi jednak na stanowisku, że kwestia ta powinna zostać uregulowana na poziomie krajowym poprzez wprowadzenie stosownych zmian </w:t>
      </w:r>
      <w:r w:rsidRPr="004B474E">
        <w:rPr>
          <w:rFonts w:ascii="Arial" w:eastAsia="Calibri" w:hAnsi="Arial" w:cs="Arial"/>
        </w:rPr>
        <w:br/>
        <w:t>w ustawie z 20 czerwca 1992 r. o uprawnieniach do ulgowych przejazdów środkami publicznego transportu zbiorowego</w:t>
      </w:r>
      <w:r w:rsidRPr="004B474E">
        <w:rPr>
          <w:rFonts w:ascii="Arial" w:eastAsia="Calibri" w:hAnsi="Arial" w:cs="Arial"/>
          <w:vertAlign w:val="superscript"/>
        </w:rPr>
        <w:footnoteReference w:id="1"/>
      </w:r>
      <w:r w:rsidRPr="004B474E">
        <w:rPr>
          <w:rFonts w:ascii="Arial" w:eastAsia="Calibri" w:hAnsi="Arial" w:cs="Arial"/>
        </w:rPr>
        <w:t xml:space="preserve">. </w:t>
      </w:r>
    </w:p>
    <w:p w14:paraId="5178A072" w14:textId="77777777" w:rsidR="004B474E" w:rsidRPr="004B474E" w:rsidRDefault="004B474E" w:rsidP="004B474E">
      <w:pPr>
        <w:spacing w:after="0" w:line="360" w:lineRule="auto"/>
        <w:rPr>
          <w:rFonts w:ascii="Arial" w:eastAsia="Calibri" w:hAnsi="Arial" w:cs="Arial"/>
        </w:rPr>
      </w:pPr>
      <w:r w:rsidRPr="004B474E">
        <w:rPr>
          <w:rFonts w:ascii="Arial" w:eastAsia="Calibri" w:hAnsi="Arial" w:cs="Arial"/>
        </w:rPr>
        <w:t xml:space="preserve">Województwo Pomorskie nie przewiduje obecnie wprowadzenia odrębnych zasad i ulg dla Honorowych Dawców Krwi w regionalnych przejazdach kolejowych na terenie województwa </w:t>
      </w:r>
      <w:r w:rsidRPr="004B474E">
        <w:rPr>
          <w:rFonts w:ascii="Arial" w:eastAsia="Calibri" w:hAnsi="Arial" w:cs="Arial"/>
        </w:rPr>
        <w:lastRenderedPageBreak/>
        <w:t xml:space="preserve">pomorskiego. Należy mieć przy tym na uwadze fakt, że legitymacja Honorowego Dawcy Krwi wydawana przez odpowiednie organy nie zawiera informacji z terenu jakiego województwa pochodzi jej posiadacz, zatem wprowadzenie jakiejkolwiek ulgi </w:t>
      </w:r>
      <w:r w:rsidRPr="004B474E">
        <w:rPr>
          <w:rFonts w:ascii="Arial" w:eastAsia="Calibri" w:hAnsi="Arial" w:cs="Arial"/>
        </w:rPr>
        <w:br/>
        <w:t xml:space="preserve">w regionie pomorskim de facto oznaczałoby stosowanie jej dla Honorowych Dawców Krwi </w:t>
      </w:r>
      <w:r w:rsidRPr="004B474E">
        <w:rPr>
          <w:rFonts w:ascii="Arial" w:eastAsia="Calibri" w:hAnsi="Arial" w:cs="Arial"/>
        </w:rPr>
        <w:br/>
        <w:t xml:space="preserve">z terenu całej Polski. </w:t>
      </w:r>
      <w:bookmarkStart w:id="0" w:name="_Hlk191473860"/>
      <w:r w:rsidRPr="004B474E">
        <w:rPr>
          <w:rFonts w:ascii="Arial" w:eastAsia="Calibri" w:hAnsi="Arial" w:cs="Arial"/>
        </w:rPr>
        <w:t xml:space="preserve">Tymczasem z raportów o liczbie </w:t>
      </w:r>
      <w:bookmarkStart w:id="1" w:name="_Hlk220576190"/>
      <w:r w:rsidRPr="004B474E">
        <w:rPr>
          <w:rFonts w:ascii="Arial" w:eastAsia="Calibri" w:hAnsi="Arial" w:cs="Arial"/>
        </w:rPr>
        <w:t xml:space="preserve">Honorowych Dawców Krwi </w:t>
      </w:r>
      <w:bookmarkEnd w:id="1"/>
      <w:r w:rsidRPr="004B474E">
        <w:rPr>
          <w:rFonts w:ascii="Arial" w:eastAsia="Calibri" w:hAnsi="Arial" w:cs="Arial"/>
        </w:rPr>
        <w:t xml:space="preserve">wynika, </w:t>
      </w:r>
      <w:r w:rsidRPr="004B474E">
        <w:rPr>
          <w:rFonts w:ascii="Arial" w:eastAsia="Calibri" w:hAnsi="Arial" w:cs="Arial"/>
        </w:rPr>
        <w:br/>
        <w:t>że w 2024 r. w Polsce było zarejestrowanych 651 400 Honorowych Dawców Krwi.</w:t>
      </w:r>
      <w:bookmarkEnd w:id="0"/>
      <w:r w:rsidRPr="004B474E">
        <w:rPr>
          <w:rFonts w:ascii="Arial" w:eastAsia="Calibri" w:hAnsi="Arial" w:cs="Arial"/>
        </w:rPr>
        <w:t xml:space="preserve"> Powyższe stanowi dodatkowy argument za tym, że przedmiotowa ulga powinna mieć charakter ogólnokrajowy.</w:t>
      </w:r>
    </w:p>
    <w:p w14:paraId="1BB01E51" w14:textId="77777777" w:rsidR="004B474E" w:rsidRPr="004B474E" w:rsidRDefault="004B474E" w:rsidP="004B474E">
      <w:pPr>
        <w:spacing w:after="0" w:line="360" w:lineRule="auto"/>
        <w:rPr>
          <w:rFonts w:ascii="Arial" w:eastAsia="Calibri" w:hAnsi="Arial" w:cs="Arial"/>
        </w:rPr>
      </w:pPr>
      <w:bookmarkStart w:id="2" w:name="_Hlk191967208"/>
      <w:r w:rsidRPr="004B474E">
        <w:rPr>
          <w:rFonts w:ascii="Arial" w:eastAsia="Calibri" w:hAnsi="Arial" w:cs="Arial"/>
        </w:rPr>
        <w:t xml:space="preserve">Podsumowując, Samorząd Województwa Pomorskiego popiera wszelkie inicjatywy wprowadzenia dodatkowych ulg i przywilejów dla Honorowych Dawców Krwi, jednak stoi przy tym na stanowisku, że powinno mieć to miejsce na poziomie regulacji ogólnokrajowych, </w:t>
      </w:r>
      <w:r w:rsidRPr="004B474E">
        <w:rPr>
          <w:rFonts w:ascii="Arial" w:eastAsia="Calibri" w:hAnsi="Arial" w:cs="Arial"/>
        </w:rPr>
        <w:br/>
        <w:t xml:space="preserve">tak aby jednolite zasady obowiązywały we wszystkich przejazdach kolejowych na terenie całego kraju, niezależnie od przewoźnika czy regionu. </w:t>
      </w:r>
      <w:bookmarkStart w:id="3" w:name="_Hlk191474090"/>
    </w:p>
    <w:bookmarkEnd w:id="2"/>
    <w:bookmarkEnd w:id="3"/>
    <w:p w14:paraId="4E87C84A" w14:textId="77777777" w:rsidR="004B474E" w:rsidRPr="004B474E" w:rsidRDefault="004B474E" w:rsidP="004B474E">
      <w:pPr>
        <w:spacing w:after="0" w:line="360" w:lineRule="auto"/>
        <w:rPr>
          <w:rFonts w:ascii="Arial" w:eastAsia="Calibri" w:hAnsi="Arial" w:cs="Arial"/>
        </w:rPr>
      </w:pPr>
    </w:p>
    <w:p w14:paraId="4A1BA7EF" w14:textId="77777777" w:rsidR="004B474E" w:rsidRPr="004B474E" w:rsidRDefault="004B474E" w:rsidP="004B474E">
      <w:pPr>
        <w:spacing w:after="0" w:line="312" w:lineRule="auto"/>
        <w:ind w:firstLine="708"/>
        <w:rPr>
          <w:rFonts w:ascii="Arial" w:eastAsia="Calibri" w:hAnsi="Arial" w:cs="Arial"/>
        </w:rPr>
      </w:pPr>
    </w:p>
    <w:p w14:paraId="220648A1" w14:textId="6E642664" w:rsidR="004B474E" w:rsidRDefault="004B474E" w:rsidP="004B474E">
      <w:pPr>
        <w:spacing w:after="0" w:line="312" w:lineRule="auto"/>
        <w:ind w:right="-143"/>
        <w:rPr>
          <w:rFonts w:ascii="Arial" w:eastAsia="Calibri" w:hAnsi="Arial" w:cs="Arial"/>
          <w:color w:val="000000"/>
        </w:rPr>
      </w:pPr>
      <w:r w:rsidRPr="004B474E">
        <w:rPr>
          <w:rFonts w:ascii="Arial" w:eastAsia="Calibri" w:hAnsi="Arial" w:cs="Arial"/>
          <w:color w:val="000000"/>
        </w:rPr>
        <w:t>Z poważaniem</w:t>
      </w:r>
    </w:p>
    <w:p w14:paraId="1321C9A2" w14:textId="3FFFBD46" w:rsidR="004B474E" w:rsidRDefault="004B474E" w:rsidP="004B474E">
      <w:pPr>
        <w:spacing w:after="0" w:line="312" w:lineRule="auto"/>
        <w:ind w:right="-143"/>
        <w:rPr>
          <w:rFonts w:ascii="Arial" w:eastAsia="Calibri" w:hAnsi="Arial" w:cs="Arial"/>
          <w:color w:val="000000"/>
        </w:rPr>
      </w:pPr>
      <w:r>
        <w:rPr>
          <w:rFonts w:ascii="Arial" w:eastAsia="Calibri" w:hAnsi="Arial" w:cs="Arial"/>
          <w:color w:val="000000"/>
        </w:rPr>
        <w:t>z up. Marszałka Województwa Pomorskiego</w:t>
      </w:r>
    </w:p>
    <w:p w14:paraId="419A93CC" w14:textId="60297FBA" w:rsidR="004B474E" w:rsidRDefault="004B474E" w:rsidP="004B474E">
      <w:pPr>
        <w:spacing w:after="0" w:line="312" w:lineRule="auto"/>
        <w:ind w:right="-143"/>
        <w:rPr>
          <w:rFonts w:ascii="Arial" w:eastAsia="Calibri" w:hAnsi="Arial" w:cs="Arial"/>
          <w:color w:val="000000"/>
        </w:rPr>
      </w:pPr>
      <w:r>
        <w:rPr>
          <w:rFonts w:ascii="Arial" w:eastAsia="Calibri" w:hAnsi="Arial" w:cs="Arial"/>
          <w:color w:val="000000"/>
        </w:rPr>
        <w:t>Anna Szekalska</w:t>
      </w:r>
    </w:p>
    <w:p w14:paraId="3315E40E" w14:textId="5FEF16BB" w:rsidR="004B474E" w:rsidRDefault="004B474E" w:rsidP="004B474E">
      <w:pPr>
        <w:spacing w:after="0" w:line="312" w:lineRule="auto"/>
        <w:ind w:right="-143"/>
        <w:rPr>
          <w:rFonts w:ascii="Arial" w:eastAsia="Calibri" w:hAnsi="Arial" w:cs="Arial"/>
          <w:color w:val="000000"/>
        </w:rPr>
      </w:pPr>
      <w:r>
        <w:rPr>
          <w:rFonts w:ascii="Arial" w:eastAsia="Calibri" w:hAnsi="Arial" w:cs="Arial"/>
          <w:color w:val="000000"/>
        </w:rPr>
        <w:t>Z-CA SEKRETARZA WOJEWÓDZTWA-</w:t>
      </w:r>
    </w:p>
    <w:p w14:paraId="7247FFF0" w14:textId="1CD50071" w:rsidR="004B474E" w:rsidRPr="004B474E" w:rsidRDefault="004B474E" w:rsidP="004B474E">
      <w:pPr>
        <w:spacing w:after="0" w:line="312" w:lineRule="auto"/>
        <w:ind w:right="-143"/>
        <w:rPr>
          <w:rFonts w:ascii="Arial" w:eastAsia="Calibri" w:hAnsi="Arial" w:cs="Arial"/>
          <w:color w:val="000000"/>
        </w:rPr>
      </w:pPr>
      <w:r>
        <w:rPr>
          <w:rFonts w:ascii="Arial" w:eastAsia="Calibri" w:hAnsi="Arial" w:cs="Arial"/>
          <w:color w:val="000000"/>
        </w:rPr>
        <w:t xml:space="preserve">Z-CA DYREKTORA GENERALNEGO </w:t>
      </w:r>
    </w:p>
    <w:p w14:paraId="661D02EE" w14:textId="77777777" w:rsidR="004B474E" w:rsidRPr="004B474E" w:rsidRDefault="004B474E" w:rsidP="004B474E">
      <w:pPr>
        <w:spacing w:after="0" w:line="312" w:lineRule="auto"/>
        <w:ind w:left="6372" w:right="-143"/>
        <w:rPr>
          <w:rFonts w:ascii="Arial" w:eastAsia="Calibri" w:hAnsi="Arial" w:cs="Arial"/>
          <w:i/>
          <w:color w:val="000000"/>
        </w:rPr>
      </w:pPr>
    </w:p>
    <w:p w14:paraId="02065861" w14:textId="77777777" w:rsidR="004B474E" w:rsidRPr="004B474E" w:rsidRDefault="004B474E" w:rsidP="004B474E">
      <w:pPr>
        <w:spacing w:after="0" w:line="312" w:lineRule="auto"/>
        <w:jc w:val="both"/>
        <w:rPr>
          <w:rFonts w:ascii="Arial" w:eastAsia="Calibri" w:hAnsi="Arial" w:cs="Arial"/>
          <w:color w:val="000000"/>
          <w:sz w:val="8"/>
          <w:szCs w:val="8"/>
          <w:u w:val="single"/>
        </w:rPr>
      </w:pPr>
    </w:p>
    <w:p w14:paraId="487934A4" w14:textId="77777777" w:rsidR="004B474E" w:rsidRPr="004B474E" w:rsidRDefault="004B474E" w:rsidP="004B474E">
      <w:pPr>
        <w:spacing w:after="0" w:line="312" w:lineRule="auto"/>
        <w:jc w:val="both"/>
        <w:rPr>
          <w:rFonts w:ascii="Arial" w:eastAsia="Calibri" w:hAnsi="Arial" w:cs="Arial"/>
          <w:color w:val="000000"/>
          <w:sz w:val="16"/>
          <w:szCs w:val="16"/>
          <w:u w:val="single"/>
        </w:rPr>
      </w:pPr>
    </w:p>
    <w:p w14:paraId="6CE54248" w14:textId="77777777" w:rsidR="004B474E" w:rsidRPr="004B474E" w:rsidRDefault="004B474E" w:rsidP="004B474E">
      <w:pPr>
        <w:spacing w:after="0" w:line="312" w:lineRule="auto"/>
        <w:jc w:val="both"/>
        <w:rPr>
          <w:rFonts w:ascii="Arial" w:eastAsia="Calibri" w:hAnsi="Arial" w:cs="Arial"/>
          <w:color w:val="000000"/>
          <w:sz w:val="16"/>
          <w:szCs w:val="16"/>
          <w:u w:val="single"/>
        </w:rPr>
      </w:pPr>
    </w:p>
    <w:p w14:paraId="322CB8AC" w14:textId="77777777" w:rsidR="004B474E" w:rsidRPr="004B474E" w:rsidRDefault="004B474E" w:rsidP="004B474E">
      <w:pPr>
        <w:spacing w:after="0" w:line="312" w:lineRule="auto"/>
        <w:jc w:val="both"/>
        <w:rPr>
          <w:rFonts w:ascii="Arial" w:eastAsia="Calibri" w:hAnsi="Arial" w:cs="Arial"/>
          <w:color w:val="000000"/>
          <w:sz w:val="16"/>
          <w:szCs w:val="16"/>
          <w:u w:val="single"/>
        </w:rPr>
      </w:pPr>
    </w:p>
    <w:p w14:paraId="78B56357" w14:textId="77777777" w:rsidR="004B474E" w:rsidRPr="004B474E" w:rsidRDefault="004B474E" w:rsidP="004B474E">
      <w:pPr>
        <w:spacing w:after="0" w:line="312" w:lineRule="auto"/>
        <w:jc w:val="both"/>
        <w:rPr>
          <w:rFonts w:ascii="Arial" w:eastAsia="Calibri" w:hAnsi="Arial" w:cs="Arial"/>
          <w:color w:val="000000"/>
          <w:sz w:val="16"/>
          <w:szCs w:val="16"/>
          <w:u w:val="single"/>
        </w:rPr>
      </w:pPr>
    </w:p>
    <w:p w14:paraId="61B0FE09" w14:textId="77777777" w:rsidR="004B474E" w:rsidRPr="004B474E" w:rsidRDefault="004B474E" w:rsidP="004B474E">
      <w:pPr>
        <w:spacing w:after="0" w:line="312" w:lineRule="auto"/>
        <w:jc w:val="both"/>
        <w:rPr>
          <w:rFonts w:ascii="Arial" w:eastAsia="Calibri" w:hAnsi="Arial" w:cs="Arial"/>
          <w:color w:val="000000"/>
          <w:sz w:val="16"/>
          <w:szCs w:val="16"/>
          <w:u w:val="single"/>
        </w:rPr>
      </w:pPr>
    </w:p>
    <w:p w14:paraId="5E0E7BCE" w14:textId="77777777" w:rsidR="004B474E" w:rsidRPr="004B474E" w:rsidRDefault="004B474E" w:rsidP="004B474E">
      <w:pPr>
        <w:spacing w:after="0" w:line="312" w:lineRule="auto"/>
        <w:jc w:val="both"/>
        <w:rPr>
          <w:rFonts w:ascii="Arial" w:eastAsia="Calibri" w:hAnsi="Arial" w:cs="Arial"/>
          <w:color w:val="000000"/>
          <w:sz w:val="16"/>
          <w:szCs w:val="16"/>
          <w:u w:val="single"/>
        </w:rPr>
      </w:pPr>
    </w:p>
    <w:p w14:paraId="6CB07430" w14:textId="77777777" w:rsidR="004B474E" w:rsidRPr="004B474E" w:rsidRDefault="004B474E" w:rsidP="004B474E">
      <w:pPr>
        <w:spacing w:after="0" w:line="312" w:lineRule="auto"/>
        <w:jc w:val="both"/>
        <w:rPr>
          <w:rFonts w:ascii="Arial" w:eastAsia="Calibri" w:hAnsi="Arial" w:cs="Arial"/>
          <w:color w:val="000000"/>
          <w:sz w:val="16"/>
          <w:szCs w:val="16"/>
          <w:u w:val="single"/>
        </w:rPr>
      </w:pPr>
    </w:p>
    <w:p w14:paraId="486633EC"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13E2C086"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7D009BB5"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1B627674"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2B66F1D2"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2757C92D"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6DCD8C8D"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0195E8D3"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6F1193D5"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10614087"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7DF53A81" w14:textId="77777777" w:rsidR="004B474E" w:rsidRPr="004B474E" w:rsidRDefault="004B474E" w:rsidP="004B474E">
      <w:pPr>
        <w:spacing w:after="0" w:line="240" w:lineRule="auto"/>
        <w:jc w:val="both"/>
        <w:rPr>
          <w:rFonts w:ascii="Arial" w:eastAsia="Calibri" w:hAnsi="Arial" w:cs="Arial"/>
          <w:color w:val="000000"/>
          <w:sz w:val="16"/>
          <w:szCs w:val="16"/>
          <w:u w:val="single"/>
        </w:rPr>
      </w:pPr>
    </w:p>
    <w:p w14:paraId="7BA5EC61" w14:textId="77777777" w:rsidR="004B474E" w:rsidRPr="004B474E" w:rsidRDefault="004B474E" w:rsidP="004B474E">
      <w:pPr>
        <w:spacing w:after="0" w:line="240" w:lineRule="auto"/>
        <w:jc w:val="both"/>
        <w:rPr>
          <w:rFonts w:ascii="Arial" w:eastAsia="Calibri" w:hAnsi="Arial" w:cs="Arial"/>
          <w:color w:val="000000"/>
          <w:sz w:val="16"/>
          <w:szCs w:val="16"/>
          <w:u w:val="single"/>
        </w:rPr>
      </w:pPr>
      <w:bookmarkStart w:id="4" w:name="_GoBack"/>
      <w:bookmarkEnd w:id="4"/>
    </w:p>
    <w:p w14:paraId="276A3B41" w14:textId="77777777" w:rsidR="004B474E" w:rsidRPr="004B474E" w:rsidRDefault="004B474E" w:rsidP="004B474E">
      <w:pPr>
        <w:spacing w:after="0" w:line="240" w:lineRule="auto"/>
        <w:jc w:val="both"/>
        <w:rPr>
          <w:rFonts w:ascii="Arial" w:eastAsia="Calibri" w:hAnsi="Arial" w:cs="Arial"/>
          <w:color w:val="000000"/>
          <w:u w:val="single"/>
        </w:rPr>
      </w:pPr>
      <w:r w:rsidRPr="004B474E">
        <w:rPr>
          <w:rFonts w:ascii="Arial" w:eastAsia="Calibri" w:hAnsi="Arial" w:cs="Arial"/>
          <w:color w:val="000000"/>
          <w:u w:val="single"/>
        </w:rPr>
        <w:t>Otrzymują:</w:t>
      </w:r>
    </w:p>
    <w:p w14:paraId="316FE363" w14:textId="77777777" w:rsidR="004B474E" w:rsidRPr="004B474E" w:rsidRDefault="004B474E" w:rsidP="004B474E">
      <w:pPr>
        <w:numPr>
          <w:ilvl w:val="0"/>
          <w:numId w:val="1"/>
        </w:numPr>
        <w:spacing w:after="0" w:line="240" w:lineRule="auto"/>
        <w:contextualSpacing/>
        <w:jc w:val="both"/>
        <w:rPr>
          <w:rFonts w:ascii="Arial" w:eastAsia="Calibri" w:hAnsi="Arial" w:cs="Arial"/>
          <w:bCs/>
          <w:color w:val="000000"/>
        </w:rPr>
      </w:pPr>
      <w:r w:rsidRPr="004B474E">
        <w:rPr>
          <w:rFonts w:ascii="Arial" w:eastAsia="Calibri" w:hAnsi="Arial" w:cs="Arial"/>
          <w:color w:val="000000"/>
        </w:rPr>
        <w:t>Adresat</w:t>
      </w:r>
      <w:r w:rsidRPr="004B474E">
        <w:rPr>
          <w:rFonts w:ascii="Arial" w:eastAsia="Calibri" w:hAnsi="Arial" w:cs="Arial"/>
          <w:vertAlign w:val="superscript"/>
        </w:rPr>
        <w:footnoteReference w:id="2"/>
      </w:r>
      <w:r w:rsidRPr="004B474E">
        <w:rPr>
          <w:rFonts w:ascii="Arial" w:eastAsia="Calibri" w:hAnsi="Arial" w:cs="Arial"/>
          <w:color w:val="000000"/>
        </w:rPr>
        <w:t xml:space="preserve">, </w:t>
      </w:r>
    </w:p>
    <w:p w14:paraId="2C731E57" w14:textId="77777777" w:rsidR="004B474E" w:rsidRPr="004B474E" w:rsidRDefault="004B474E" w:rsidP="004B474E">
      <w:pPr>
        <w:numPr>
          <w:ilvl w:val="0"/>
          <w:numId w:val="1"/>
        </w:numPr>
        <w:spacing w:after="0" w:line="240" w:lineRule="auto"/>
        <w:contextualSpacing/>
        <w:jc w:val="both"/>
        <w:rPr>
          <w:rFonts w:ascii="Arial" w:eastAsia="Calibri" w:hAnsi="Arial" w:cs="Arial"/>
          <w:bCs/>
          <w:color w:val="000000"/>
        </w:rPr>
      </w:pPr>
      <w:r w:rsidRPr="004B474E">
        <w:rPr>
          <w:rFonts w:ascii="Arial" w:eastAsia="Calibri" w:hAnsi="Arial" w:cs="Arial"/>
        </w:rPr>
        <w:t>A/a.</w:t>
      </w:r>
    </w:p>
    <w:p w14:paraId="2209E112" w14:textId="77777777" w:rsidR="004B474E" w:rsidRPr="004B474E" w:rsidRDefault="004B474E"/>
    <w:sectPr w:rsidR="004B474E" w:rsidRPr="004B47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BD6E0" w14:textId="77777777" w:rsidR="004B474E" w:rsidRDefault="004B474E" w:rsidP="004B474E">
      <w:pPr>
        <w:spacing w:after="0" w:line="240" w:lineRule="auto"/>
      </w:pPr>
      <w:r>
        <w:separator/>
      </w:r>
    </w:p>
  </w:endnote>
  <w:endnote w:type="continuationSeparator" w:id="0">
    <w:p w14:paraId="2F2304D9" w14:textId="77777777" w:rsidR="004B474E" w:rsidRDefault="004B474E" w:rsidP="004B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FA749" w14:textId="77777777" w:rsidR="004B474E" w:rsidRDefault="004B474E" w:rsidP="004B474E">
      <w:pPr>
        <w:spacing w:after="0" w:line="240" w:lineRule="auto"/>
      </w:pPr>
      <w:r>
        <w:separator/>
      </w:r>
    </w:p>
  </w:footnote>
  <w:footnote w:type="continuationSeparator" w:id="0">
    <w:p w14:paraId="13A40EE1" w14:textId="77777777" w:rsidR="004B474E" w:rsidRDefault="004B474E" w:rsidP="004B474E">
      <w:pPr>
        <w:spacing w:after="0" w:line="240" w:lineRule="auto"/>
      </w:pPr>
      <w:r>
        <w:continuationSeparator/>
      </w:r>
    </w:p>
  </w:footnote>
  <w:footnote w:id="1">
    <w:p w14:paraId="575FAD1F" w14:textId="77777777" w:rsidR="004B474E" w:rsidRPr="004B474E" w:rsidRDefault="004B474E" w:rsidP="004B474E">
      <w:pPr>
        <w:pStyle w:val="Tekstprzypisudolnego"/>
        <w:rPr>
          <w:rFonts w:ascii="Arial" w:hAnsi="Arial" w:cs="Arial"/>
          <w:sz w:val="22"/>
          <w:szCs w:val="22"/>
        </w:rPr>
      </w:pPr>
      <w:r w:rsidRPr="004B474E">
        <w:rPr>
          <w:rStyle w:val="Odwoanieprzypisudolnego"/>
          <w:rFonts w:ascii="Arial" w:hAnsi="Arial" w:cs="Arial"/>
          <w:sz w:val="22"/>
          <w:szCs w:val="22"/>
        </w:rPr>
        <w:footnoteRef/>
      </w:r>
      <w:r w:rsidRPr="004B474E">
        <w:rPr>
          <w:rFonts w:ascii="Arial" w:hAnsi="Arial" w:cs="Arial"/>
          <w:sz w:val="22"/>
          <w:szCs w:val="22"/>
        </w:rPr>
        <w:t xml:space="preserve"> t.j. Dz. U. z 2024 r., poz. 380 ze zm. </w:t>
      </w:r>
    </w:p>
  </w:footnote>
  <w:footnote w:id="2">
    <w:p w14:paraId="0C815CF9" w14:textId="45552473" w:rsidR="004B474E" w:rsidRPr="004B474E" w:rsidRDefault="004B474E" w:rsidP="004B474E">
      <w:pPr>
        <w:pStyle w:val="Tekstprzypisudolnego"/>
        <w:jc w:val="both"/>
        <w:rPr>
          <w:rFonts w:ascii="Arial" w:hAnsi="Arial" w:cs="Arial"/>
          <w:sz w:val="22"/>
          <w:szCs w:val="22"/>
        </w:rPr>
      </w:pPr>
      <w:r w:rsidRPr="004B474E">
        <w:rPr>
          <w:rStyle w:val="Odwoanieprzypisudolnego"/>
          <w:rFonts w:ascii="Arial" w:hAnsi="Arial" w:cs="Arial"/>
          <w:sz w:val="22"/>
          <w:szCs w:val="22"/>
        </w:rPr>
        <w:footnoteRef/>
      </w:r>
      <w:r w:rsidRPr="004B474E">
        <w:rPr>
          <w:rFonts w:ascii="Arial" w:hAnsi="Arial" w:cs="Arial"/>
          <w:sz w:val="22"/>
          <w:szCs w:val="22"/>
        </w:rPr>
        <w:t xml:space="preserve"> Klauzula informacyjna zgodnie z art. 13 ust. 1 i ust. 2 rozporządzenia Parlamentu Europejskiego i Rady (UE) 2016/679 z 27 kwietnia 2016 r. (RODO) opublikowana została </w:t>
      </w:r>
      <w:r>
        <w:rPr>
          <w:rFonts w:ascii="Arial" w:hAnsi="Arial" w:cs="Arial"/>
          <w:sz w:val="22"/>
          <w:szCs w:val="22"/>
        </w:rPr>
        <w:br/>
      </w:r>
      <w:r w:rsidRPr="004B474E">
        <w:rPr>
          <w:rFonts w:ascii="Arial" w:hAnsi="Arial" w:cs="Arial"/>
          <w:sz w:val="22"/>
          <w:szCs w:val="22"/>
        </w:rPr>
        <w:t>na stronie BIP UMWP - https://bip.pomorskie.eu/m,416,petycje.html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53CB8"/>
    <w:multiLevelType w:val="hybridMultilevel"/>
    <w:tmpl w:val="110072DA"/>
    <w:lvl w:ilvl="0" w:tplc="6FBA8A2C">
      <w:start w:val="1"/>
      <w:numFmt w:val="decimal"/>
      <w:lvlText w:val="%1."/>
      <w:lvlJc w:val="left"/>
      <w:pPr>
        <w:ind w:left="360" w:hanging="360"/>
      </w:pPr>
      <w:rPr>
        <w:sz w:val="16"/>
        <w:szCs w:val="16"/>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49E5197-54E4-4173-B2DF-30EB27A49CCE}"/>
  </w:docVars>
  <w:rsids>
    <w:rsidRoot w:val="009E4987"/>
    <w:rsid w:val="0044089D"/>
    <w:rsid w:val="00463744"/>
    <w:rsid w:val="004B474E"/>
    <w:rsid w:val="009E49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7499"/>
  <w15:chartTrackingRefBased/>
  <w15:docId w15:val="{CAD3013D-F7AF-431E-940D-02D7B250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4B474E"/>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4B474E"/>
    <w:rPr>
      <w:rFonts w:ascii="Calibri" w:eastAsia="Times New Roman" w:hAnsi="Calibri" w:cs="Times New Roman"/>
      <w:sz w:val="20"/>
      <w:szCs w:val="20"/>
    </w:rPr>
  </w:style>
  <w:style w:type="character" w:styleId="Odwoanieprzypisudolnego">
    <w:name w:val="footnote reference"/>
    <w:basedOn w:val="Domylnaczcionkaakapitu"/>
    <w:semiHidden/>
    <w:unhideWhenUsed/>
    <w:rsid w:val="004B474E"/>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049E5197-54E4-4173-B2DF-30EB27A49CC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2787</Characters>
  <Application>Microsoft Office Word</Application>
  <DocSecurity>0</DocSecurity>
  <Lines>23</Lines>
  <Paragraphs>6</Paragraphs>
  <ScaleCrop>false</ScaleCrop>
  <Company>Urzad Marszalkowski Wojewodztwa Pomorskiego</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Kinga</dc:creator>
  <cp:keywords/>
  <dc:description/>
  <cp:lastModifiedBy>Lis Kinga</cp:lastModifiedBy>
  <cp:revision>2</cp:revision>
  <dcterms:created xsi:type="dcterms:W3CDTF">2026-02-18T08:12:00Z</dcterms:created>
  <dcterms:modified xsi:type="dcterms:W3CDTF">2026-02-18T08:17:00Z</dcterms:modified>
</cp:coreProperties>
</file>