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D2" w:rsidRPr="00784D37" w:rsidRDefault="00B936C2" w:rsidP="00784D37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D37">
        <w:rPr>
          <w:rFonts w:ascii="Times New Roman" w:hAnsi="Times New Roman" w:cs="Times New Roman"/>
          <w:b/>
          <w:sz w:val="24"/>
          <w:szCs w:val="24"/>
        </w:rPr>
        <w:t xml:space="preserve">Interpelacja </w:t>
      </w:r>
      <w:r w:rsidR="00F03DCD" w:rsidRPr="00784D37">
        <w:rPr>
          <w:rFonts w:ascii="Times New Roman" w:hAnsi="Times New Roman" w:cs="Times New Roman"/>
          <w:b/>
          <w:sz w:val="24"/>
          <w:szCs w:val="24"/>
        </w:rPr>
        <w:t>1</w:t>
      </w:r>
      <w:r w:rsidR="006D020C" w:rsidRPr="00784D37">
        <w:rPr>
          <w:rFonts w:ascii="Times New Roman" w:hAnsi="Times New Roman" w:cs="Times New Roman"/>
          <w:b/>
          <w:sz w:val="24"/>
          <w:szCs w:val="24"/>
        </w:rPr>
        <w:t>1</w:t>
      </w:r>
      <w:r w:rsidR="00902BCC" w:rsidRPr="00784D37">
        <w:rPr>
          <w:rFonts w:ascii="Times New Roman" w:hAnsi="Times New Roman" w:cs="Times New Roman"/>
          <w:b/>
          <w:sz w:val="24"/>
          <w:szCs w:val="24"/>
        </w:rPr>
        <w:t>3</w:t>
      </w:r>
      <w:r w:rsidR="001C7A6F" w:rsidRPr="00784D37">
        <w:rPr>
          <w:rFonts w:ascii="Times New Roman" w:hAnsi="Times New Roman" w:cs="Times New Roman"/>
          <w:b/>
          <w:sz w:val="24"/>
          <w:szCs w:val="24"/>
        </w:rPr>
        <w:t>/2021</w:t>
      </w:r>
    </w:p>
    <w:p w:rsidR="00D46338" w:rsidRPr="00784D37" w:rsidRDefault="004A14AE" w:rsidP="00784D37">
      <w:pPr>
        <w:pStyle w:val="Teksttreci4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37">
        <w:rPr>
          <w:rFonts w:ascii="Times New Roman" w:hAnsi="Times New Roman" w:cs="Times New Roman"/>
          <w:b/>
          <w:sz w:val="24"/>
          <w:szCs w:val="24"/>
        </w:rPr>
        <w:t>W sprawie</w:t>
      </w:r>
      <w:r w:rsidR="000A348B" w:rsidRPr="00784D37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3D4E89" w:rsidRPr="00784D37">
        <w:rPr>
          <w:rFonts w:ascii="Times New Roman" w:hAnsi="Times New Roman" w:cs="Times New Roman"/>
          <w:sz w:val="24"/>
          <w:szCs w:val="24"/>
        </w:rPr>
        <w:t xml:space="preserve">W sprawie </w:t>
      </w:r>
      <w:r w:rsidR="00902BCC" w:rsidRPr="00784D37">
        <w:rPr>
          <w:rFonts w:ascii="Times New Roman" w:hAnsi="Times New Roman" w:cs="Times New Roman"/>
          <w:sz w:val="24"/>
          <w:szCs w:val="24"/>
        </w:rPr>
        <w:t xml:space="preserve">wzrostu wynagrodzeń na 2022 rok pracowników zatrudnionych </w:t>
      </w:r>
      <w:r w:rsidR="00784D37" w:rsidRPr="00784D37">
        <w:rPr>
          <w:rFonts w:ascii="Times New Roman" w:hAnsi="Times New Roman" w:cs="Times New Roman"/>
          <w:sz w:val="24"/>
          <w:szCs w:val="24"/>
        </w:rPr>
        <w:br/>
      </w:r>
      <w:r w:rsidR="00902BCC" w:rsidRPr="00784D37">
        <w:rPr>
          <w:rFonts w:ascii="Times New Roman" w:hAnsi="Times New Roman" w:cs="Times New Roman"/>
          <w:sz w:val="24"/>
          <w:szCs w:val="24"/>
        </w:rPr>
        <w:t>w Jednostkach Samorządu Terytorialnego Województwa Pomorskiego</w:t>
      </w:r>
    </w:p>
    <w:p w:rsidR="00260295" w:rsidRPr="00784D37" w:rsidRDefault="005638BB" w:rsidP="00784D37">
      <w:pPr>
        <w:pStyle w:val="Teksttreci4"/>
        <w:numPr>
          <w:ilvl w:val="0"/>
          <w:numId w:val="23"/>
        </w:numPr>
        <w:shd w:val="clear" w:color="auto" w:fill="auto"/>
        <w:spacing w:after="24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8"/>
      <w:r w:rsidRPr="00784D37">
        <w:rPr>
          <w:rFonts w:ascii="Times New Roman" w:hAnsi="Times New Roman" w:cs="Times New Roman"/>
          <w:b/>
          <w:bCs/>
          <w:color w:val="0E0E16"/>
          <w:sz w:val="24"/>
          <w:szCs w:val="24"/>
        </w:rPr>
        <w:t>Karol Guzikiewicz</w:t>
      </w:r>
    </w:p>
    <w:p w:rsidR="00902BCC" w:rsidRPr="00784D37" w:rsidRDefault="00902BCC" w:rsidP="00784D37">
      <w:pPr>
        <w:pStyle w:val="Teksttreci4"/>
        <w:spacing w:after="240" w:line="360" w:lineRule="auto"/>
        <w:jc w:val="both"/>
        <w:rPr>
          <w:rFonts w:ascii="Times New Roman" w:hAnsi="Times New Roman" w:cs="Times New Roman"/>
          <w:b/>
          <w:bCs/>
          <w:color w:val="0E0E16"/>
          <w:sz w:val="24"/>
          <w:szCs w:val="24"/>
        </w:rPr>
      </w:pPr>
      <w:r w:rsidRPr="00784D37">
        <w:rPr>
          <w:rFonts w:ascii="Times New Roman" w:hAnsi="Times New Roman" w:cs="Times New Roman"/>
          <w:b/>
          <w:bCs/>
          <w:color w:val="0E0E16"/>
          <w:sz w:val="24"/>
          <w:szCs w:val="24"/>
        </w:rPr>
        <w:t>INTERPELACJA</w:t>
      </w:r>
    </w:p>
    <w:p w:rsidR="00902BCC" w:rsidRPr="00784D37" w:rsidRDefault="00902BCC" w:rsidP="00784D37">
      <w:pPr>
        <w:pStyle w:val="Teksttreci4"/>
        <w:spacing w:after="240" w:line="360" w:lineRule="auto"/>
        <w:jc w:val="both"/>
        <w:rPr>
          <w:rFonts w:ascii="Times New Roman" w:hAnsi="Times New Roman" w:cs="Times New Roman"/>
          <w:b/>
          <w:bCs/>
          <w:color w:val="0E0E16"/>
          <w:sz w:val="24"/>
          <w:szCs w:val="24"/>
        </w:rPr>
      </w:pPr>
      <w:r w:rsidRPr="00784D37">
        <w:rPr>
          <w:rFonts w:ascii="Times New Roman" w:hAnsi="Times New Roman" w:cs="Times New Roman"/>
          <w:b/>
          <w:bCs/>
          <w:color w:val="0E0E16"/>
          <w:sz w:val="24"/>
          <w:szCs w:val="24"/>
        </w:rPr>
        <w:t xml:space="preserve"> DOTYCZY: Wzrostu wynagrodzeń na 2022 rok pracowników zatrudnionych </w:t>
      </w:r>
      <w:r w:rsidR="000B3B19" w:rsidRPr="00784D37">
        <w:rPr>
          <w:rFonts w:ascii="Times New Roman" w:hAnsi="Times New Roman" w:cs="Times New Roman"/>
          <w:b/>
          <w:bCs/>
          <w:color w:val="0E0E16"/>
          <w:sz w:val="24"/>
          <w:szCs w:val="24"/>
        </w:rPr>
        <w:br/>
      </w:r>
      <w:r w:rsidRPr="00784D37">
        <w:rPr>
          <w:rFonts w:ascii="Times New Roman" w:hAnsi="Times New Roman" w:cs="Times New Roman"/>
          <w:b/>
          <w:bCs/>
          <w:color w:val="0E0E16"/>
          <w:sz w:val="24"/>
          <w:szCs w:val="24"/>
        </w:rPr>
        <w:t>w Jednostkach Samorządu Terytorialnego Województwa Pomorskiego</w:t>
      </w:r>
    </w:p>
    <w:p w:rsidR="00902BCC" w:rsidRPr="00784D37" w:rsidRDefault="00902BCC" w:rsidP="00784D37">
      <w:pPr>
        <w:pStyle w:val="Teksttreci4"/>
        <w:spacing w:after="240" w:line="360" w:lineRule="auto"/>
        <w:jc w:val="both"/>
        <w:rPr>
          <w:rFonts w:ascii="Times New Roman" w:hAnsi="Times New Roman" w:cs="Times New Roman"/>
          <w:bCs/>
          <w:color w:val="0E0E16"/>
          <w:sz w:val="24"/>
          <w:szCs w:val="24"/>
        </w:rPr>
      </w:pPr>
      <w:r w:rsidRPr="00784D37">
        <w:rPr>
          <w:rFonts w:ascii="Times New Roman" w:hAnsi="Times New Roman" w:cs="Times New Roman"/>
          <w:bCs/>
          <w:color w:val="0E0E16"/>
          <w:sz w:val="24"/>
          <w:szCs w:val="24"/>
        </w:rPr>
        <w:t>Szanowny Panie Marszalku,</w:t>
      </w:r>
    </w:p>
    <w:p w:rsidR="00902BCC" w:rsidRPr="00784D37" w:rsidRDefault="00902BCC" w:rsidP="00784D37">
      <w:pPr>
        <w:pStyle w:val="Teksttreci4"/>
        <w:spacing w:after="240" w:line="360" w:lineRule="auto"/>
        <w:jc w:val="both"/>
        <w:rPr>
          <w:rFonts w:ascii="Times New Roman" w:hAnsi="Times New Roman" w:cs="Times New Roman"/>
          <w:bCs/>
          <w:color w:val="0E0E16"/>
          <w:sz w:val="24"/>
          <w:szCs w:val="24"/>
        </w:rPr>
      </w:pPr>
      <w:r w:rsidRPr="00784D37">
        <w:rPr>
          <w:rFonts w:ascii="Times New Roman" w:hAnsi="Times New Roman" w:cs="Times New Roman"/>
          <w:bCs/>
          <w:color w:val="0E0E16"/>
          <w:sz w:val="24"/>
          <w:szCs w:val="24"/>
        </w:rPr>
        <w:t xml:space="preserve">Działając na podstawie art.23 pkt.1 Ustawy o Samorządzie Wojewódzkim i wykonując obowiązki radnego, </w:t>
      </w:r>
      <w:r w:rsidRPr="00784D37">
        <w:rPr>
          <w:rFonts w:ascii="Times New Roman" w:hAnsi="Times New Roman" w:cs="Times New Roman"/>
          <w:b/>
          <w:bCs/>
          <w:color w:val="0E0E16"/>
          <w:sz w:val="24"/>
          <w:szCs w:val="24"/>
        </w:rPr>
        <w:t>na prośbę pracowników urzędu wnioskuję do Zarządu</w:t>
      </w:r>
      <w:r w:rsidRPr="00784D37">
        <w:rPr>
          <w:rFonts w:ascii="Times New Roman" w:hAnsi="Times New Roman" w:cs="Times New Roman"/>
          <w:bCs/>
          <w:color w:val="0E0E16"/>
          <w:sz w:val="24"/>
          <w:szCs w:val="24"/>
        </w:rPr>
        <w:t>:</w:t>
      </w:r>
    </w:p>
    <w:p w:rsidR="00902BCC" w:rsidRPr="00784D37" w:rsidRDefault="00902BCC" w:rsidP="00784D37">
      <w:pPr>
        <w:pStyle w:val="Teksttreci4"/>
        <w:numPr>
          <w:ilvl w:val="0"/>
          <w:numId w:val="35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color w:val="0E0E16"/>
          <w:sz w:val="24"/>
          <w:szCs w:val="24"/>
        </w:rPr>
      </w:pPr>
      <w:r w:rsidRPr="00784D37">
        <w:rPr>
          <w:rFonts w:ascii="Times New Roman" w:hAnsi="Times New Roman" w:cs="Times New Roman"/>
          <w:b/>
          <w:bCs/>
          <w:color w:val="0E0E16"/>
          <w:sz w:val="24"/>
          <w:szCs w:val="24"/>
        </w:rPr>
        <w:t>Zmianę budżetu województwa na 2022 w celu wypracowania środków na wzrost wynagrodzeń dla pracowników w jednostkach samorządu terytorialnego na 2022 rok. (</w:t>
      </w:r>
      <w:r w:rsidRPr="00784D37">
        <w:rPr>
          <w:rFonts w:ascii="Times New Roman" w:hAnsi="Times New Roman" w:cs="Times New Roman"/>
          <w:bCs/>
          <w:color w:val="0E0E16"/>
          <w:sz w:val="24"/>
          <w:szCs w:val="24"/>
        </w:rPr>
        <w:t>środki z rezerwy budżetowej i zwiększonych dochodów</w:t>
      </w:r>
      <w:r w:rsidRPr="00784D37">
        <w:rPr>
          <w:rFonts w:ascii="Times New Roman" w:hAnsi="Times New Roman" w:cs="Times New Roman"/>
          <w:b/>
          <w:bCs/>
          <w:color w:val="0E0E16"/>
          <w:sz w:val="24"/>
          <w:szCs w:val="24"/>
        </w:rPr>
        <w:t>)</w:t>
      </w:r>
    </w:p>
    <w:p w:rsidR="00902BCC" w:rsidRPr="00784D37" w:rsidRDefault="00902BCC" w:rsidP="00784D37">
      <w:pPr>
        <w:pStyle w:val="Teksttreci4"/>
        <w:numPr>
          <w:ilvl w:val="0"/>
          <w:numId w:val="35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color w:val="0E0E16"/>
          <w:sz w:val="24"/>
          <w:szCs w:val="24"/>
        </w:rPr>
      </w:pPr>
      <w:r w:rsidRPr="00784D37">
        <w:rPr>
          <w:rFonts w:ascii="Times New Roman" w:hAnsi="Times New Roman" w:cs="Times New Roman"/>
          <w:b/>
          <w:bCs/>
          <w:color w:val="0E0E16"/>
          <w:sz w:val="24"/>
          <w:szCs w:val="24"/>
        </w:rPr>
        <w:t>Przedstawienie informacji, czy nastąpił jakikolwiek wzrost wynagrodzeń</w:t>
      </w:r>
    </w:p>
    <w:p w:rsidR="00902BCC" w:rsidRPr="00784D37" w:rsidRDefault="00902BCC" w:rsidP="00784D37">
      <w:pPr>
        <w:pStyle w:val="Teksttreci4"/>
        <w:numPr>
          <w:ilvl w:val="0"/>
          <w:numId w:val="35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color w:val="0E0E16"/>
          <w:sz w:val="24"/>
          <w:szCs w:val="24"/>
        </w:rPr>
      </w:pPr>
      <w:r w:rsidRPr="00784D37">
        <w:rPr>
          <w:rFonts w:ascii="Times New Roman" w:hAnsi="Times New Roman" w:cs="Times New Roman"/>
          <w:b/>
          <w:bCs/>
          <w:color w:val="0E0E16"/>
          <w:sz w:val="24"/>
          <w:szCs w:val="24"/>
        </w:rPr>
        <w:t xml:space="preserve">w poszczególnych jednostkach od lutego 2022 do czerwca 2022. </w:t>
      </w:r>
      <w:r w:rsidRPr="00784D37">
        <w:rPr>
          <w:rFonts w:ascii="Times New Roman" w:hAnsi="Times New Roman" w:cs="Times New Roman"/>
          <w:bCs/>
          <w:color w:val="0E0E16"/>
          <w:sz w:val="24"/>
          <w:szCs w:val="24"/>
        </w:rPr>
        <w:t>(Informacja wina zawierać nazwę jednostki, kwotę wzrostu wynagrodzenia oraz zajmowane stanowisko).</w:t>
      </w:r>
    </w:p>
    <w:p w:rsidR="00902BCC" w:rsidRPr="00784D37" w:rsidRDefault="00902BCC" w:rsidP="00784D37">
      <w:pPr>
        <w:pStyle w:val="Teksttreci4"/>
        <w:numPr>
          <w:ilvl w:val="0"/>
          <w:numId w:val="35"/>
        </w:numPr>
        <w:shd w:val="clear" w:color="auto" w:fill="auto"/>
        <w:spacing w:after="240" w:line="360" w:lineRule="auto"/>
        <w:jc w:val="both"/>
        <w:rPr>
          <w:rFonts w:ascii="Times New Roman" w:hAnsi="Times New Roman" w:cs="Times New Roman"/>
          <w:b/>
          <w:bCs/>
          <w:color w:val="0E0E16"/>
          <w:sz w:val="24"/>
          <w:szCs w:val="24"/>
        </w:rPr>
      </w:pPr>
      <w:r w:rsidRPr="00784D37">
        <w:rPr>
          <w:rFonts w:ascii="Times New Roman" w:hAnsi="Times New Roman" w:cs="Times New Roman"/>
          <w:b/>
          <w:bCs/>
          <w:color w:val="0E0E16"/>
          <w:sz w:val="24"/>
          <w:szCs w:val="24"/>
        </w:rPr>
        <w:t>Przedstawienie propozycji wzrostu wynagrodzeń na 2022 rok uwzględniając obecną inflację wraz harmonogramem zmian.</w:t>
      </w:r>
    </w:p>
    <w:p w:rsidR="00902BCC" w:rsidRPr="00784D37" w:rsidRDefault="00902BCC" w:rsidP="00784D37">
      <w:pPr>
        <w:pStyle w:val="Teksttreci4"/>
        <w:spacing w:after="240" w:line="360" w:lineRule="auto"/>
        <w:jc w:val="both"/>
        <w:rPr>
          <w:rFonts w:ascii="Times New Roman" w:hAnsi="Times New Roman" w:cs="Times New Roman"/>
          <w:b/>
          <w:bCs/>
          <w:color w:val="0E0E16"/>
          <w:sz w:val="24"/>
          <w:szCs w:val="24"/>
        </w:rPr>
      </w:pPr>
      <w:r w:rsidRPr="00784D37">
        <w:rPr>
          <w:rFonts w:ascii="Times New Roman" w:hAnsi="Times New Roman" w:cs="Times New Roman"/>
          <w:b/>
          <w:bCs/>
          <w:color w:val="0E0E16"/>
          <w:sz w:val="24"/>
          <w:szCs w:val="24"/>
        </w:rPr>
        <w:t>Uzasadnienie:</w:t>
      </w:r>
    </w:p>
    <w:p w:rsidR="00902BCC" w:rsidRPr="00784D37" w:rsidRDefault="00902BCC" w:rsidP="00784D37">
      <w:pPr>
        <w:pStyle w:val="Teksttreci4"/>
        <w:spacing w:after="240" w:line="360" w:lineRule="auto"/>
        <w:jc w:val="both"/>
        <w:rPr>
          <w:rFonts w:ascii="Times New Roman" w:hAnsi="Times New Roman" w:cs="Times New Roman"/>
          <w:bCs/>
          <w:color w:val="0E0E16"/>
          <w:sz w:val="24"/>
          <w:szCs w:val="24"/>
        </w:rPr>
      </w:pPr>
      <w:r w:rsidRPr="00784D37">
        <w:rPr>
          <w:rFonts w:ascii="Times New Roman" w:hAnsi="Times New Roman" w:cs="Times New Roman"/>
          <w:bCs/>
          <w:color w:val="0E0E16"/>
          <w:sz w:val="24"/>
          <w:szCs w:val="24"/>
        </w:rPr>
        <w:t>Ubiegłoroczna decyzja o waloryzacji płac pokrywa zaledwie część inflacji z poprzednich lat, dlatego przy szalejących podwyżkach cen w bieżącym roku uzasadnione jest wprowadzenie kolejnej waloryzacji wynagrodzeń.</w:t>
      </w:r>
    </w:p>
    <w:p w:rsidR="00902BCC" w:rsidRPr="00784D37" w:rsidRDefault="00902BCC" w:rsidP="00784D37">
      <w:pPr>
        <w:pStyle w:val="Teksttreci4"/>
        <w:pBdr>
          <w:bottom w:val="single" w:sz="12" w:space="1" w:color="auto"/>
        </w:pBdr>
        <w:shd w:val="clear" w:color="auto" w:fill="auto"/>
        <w:spacing w:after="240" w:line="360" w:lineRule="auto"/>
        <w:jc w:val="both"/>
        <w:rPr>
          <w:rFonts w:ascii="Times New Roman" w:hAnsi="Times New Roman" w:cs="Times New Roman"/>
          <w:bCs/>
          <w:color w:val="0E0E16"/>
          <w:sz w:val="24"/>
          <w:szCs w:val="24"/>
        </w:rPr>
      </w:pPr>
      <w:r w:rsidRPr="00784D37">
        <w:rPr>
          <w:rFonts w:ascii="Times New Roman" w:hAnsi="Times New Roman" w:cs="Times New Roman"/>
          <w:bCs/>
          <w:color w:val="0E0E16"/>
          <w:sz w:val="24"/>
          <w:szCs w:val="24"/>
        </w:rPr>
        <w:t>Nadmieniam iż wniosek Donalda Tuska z kwietna tego roku o 20% podwyżkę pokrywa oczekiwania pracowników JST. Mam nadzieję iż w tej sytuacji Zarząd poprze wniosek tzw. budżetówki, czyli służby zdrowia, oświaty, kultury, oraz urzędników o wzrost wynagrodzeń rekompensujący inflację.</w:t>
      </w:r>
    </w:p>
    <w:p w:rsidR="00592C29" w:rsidRPr="00784D37" w:rsidRDefault="00592C29" w:rsidP="00784D37">
      <w:pPr>
        <w:pStyle w:val="Teksttreci4"/>
        <w:shd w:val="clear" w:color="auto" w:fill="auto"/>
        <w:spacing w:after="240" w:line="360" w:lineRule="auto"/>
        <w:jc w:val="both"/>
        <w:rPr>
          <w:rFonts w:ascii="Times New Roman" w:hAnsi="Times New Roman" w:cs="Times New Roman"/>
          <w:bCs/>
          <w:color w:val="0E0E16"/>
          <w:sz w:val="24"/>
          <w:szCs w:val="24"/>
        </w:rPr>
      </w:pPr>
    </w:p>
    <w:p w:rsidR="00784D37" w:rsidRPr="00784D37" w:rsidRDefault="00784D37" w:rsidP="00784D37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D37">
        <w:rPr>
          <w:rFonts w:ascii="Times New Roman" w:hAnsi="Times New Roman" w:cs="Times New Roman"/>
          <w:sz w:val="24"/>
          <w:szCs w:val="24"/>
        </w:rPr>
        <w:t xml:space="preserve">Odpowiadając na Pana interpelację z dnia 14 lipca 2022 r. (doręczoną 14 lipca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2022 r.) w sprawie </w:t>
      </w:r>
      <w:r w:rsidRPr="00784D37">
        <w:rPr>
          <w:rFonts w:ascii="Times New Roman" w:hAnsi="Times New Roman" w:cs="Times New Roman"/>
          <w:i/>
          <w:sz w:val="24"/>
          <w:szCs w:val="24"/>
        </w:rPr>
        <w:t xml:space="preserve">wzrostu wynagrodzeń na 2022 rok pracowników zatrudnionych </w:t>
      </w:r>
      <w:r w:rsidRPr="00784D37">
        <w:rPr>
          <w:rFonts w:ascii="Times New Roman" w:hAnsi="Times New Roman" w:cs="Times New Roman"/>
          <w:i/>
          <w:sz w:val="24"/>
          <w:szCs w:val="24"/>
        </w:rPr>
        <w:br/>
        <w:t>w Jednostkach Samorządu Terytorialnego Województwa Pomorskiego</w:t>
      </w:r>
      <w:r w:rsidRPr="00784D37">
        <w:rPr>
          <w:rFonts w:ascii="Times New Roman" w:hAnsi="Times New Roman" w:cs="Times New Roman"/>
          <w:sz w:val="24"/>
          <w:szCs w:val="24"/>
        </w:rPr>
        <w:t xml:space="preserve">, należy wskazać,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że niestety poziom wynagrodzeń pracowników samorządowych często jest niewspółmierny wobec posiadanego przez nich wykształcenia, kompetencji oraz prezentowanego zaangażowania w pracę, niemniej uzależniony jest on od działań władz centralnych i zmian legislacyjnych. </w:t>
      </w:r>
    </w:p>
    <w:p w:rsidR="00784D37" w:rsidRPr="00784D37" w:rsidRDefault="00784D37" w:rsidP="00784D37">
      <w:pPr>
        <w:spacing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D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Gwarancja stabilnego zatrudnienia już nie wystarcza, a proponowane wynagrodzenia są coraz mniej satysfakcjonujące w zestawieniu z tymi oferowanymi w sektorze prywatnym. Zdaję sobie sprawę, że </w:t>
      </w:r>
      <w:r w:rsidRPr="00784D37">
        <w:rPr>
          <w:rFonts w:ascii="Times New Roman" w:hAnsi="Times New Roman" w:cs="Times New Roman"/>
          <w:sz w:val="24"/>
          <w:szCs w:val="24"/>
        </w:rPr>
        <w:t xml:space="preserve">wynagrodzenia pracowników powinny być wyższe. Nie ulega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to wątpliwości, ale wyjście naprzeciw tym oczekiwaniom wymagałoby też zmian legislacyjnych zapewniających uzyskiwanie wyższych dochodów przez samorządy województw, a także odmrożenia kwoty bazowej zapisanej w budżecie państwa. Brak działań strony rządowej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w tym zakresie ogranicza możliwości Województwa w zapewnieniu bardziej konkurencyjnych wynagrodzeń pracowników samorządowych. </w:t>
      </w:r>
      <w:r w:rsidRPr="00784D37">
        <w:rPr>
          <w:rFonts w:ascii="Times New Roman" w:hAnsi="Times New Roman" w:cs="Times New Roman"/>
          <w:color w:val="000000"/>
          <w:sz w:val="24"/>
          <w:szCs w:val="24"/>
        </w:rPr>
        <w:t>Skuteczne zmiany pozwoliłyby na stworzenie adekwatnych warunków finansowych dla obecnych pracowników samorządowych oraz przyciągnęłyby nowych specjalistów do pracy w administracji publicznej.</w:t>
      </w:r>
    </w:p>
    <w:p w:rsidR="00784D37" w:rsidRPr="00784D37" w:rsidRDefault="00784D37" w:rsidP="00784D37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D37">
        <w:rPr>
          <w:rFonts w:ascii="Times New Roman" w:hAnsi="Times New Roman" w:cs="Times New Roman"/>
          <w:color w:val="000000"/>
          <w:sz w:val="24"/>
          <w:szCs w:val="24"/>
        </w:rPr>
        <w:t xml:space="preserve">Nie tylko niewspółmiernie niskie wynagrodzenia pracowników administracji publicznej powodują, że zawód urzędnika traci na swej wartości, a praca w urzędach administracji publicznej przestaje być atrakcyjna. Wpływ na to ma przede wszystkim polityka obecnego obozu rządzącego, który zamiast umacniać etos pracownika administracji publicznej </w:t>
      </w:r>
      <w:r w:rsidRPr="00784D3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 budować zaufanie obywateli do urzędników, wprowadza regulacje prawne, które dezawuują pracę szeroko rozumianej administracji publicznej. Przykładem jest choćby </w:t>
      </w:r>
      <w:r w:rsidRPr="00784D37">
        <w:rPr>
          <w:rFonts w:ascii="Times New Roman" w:hAnsi="Times New Roman" w:cs="Times New Roman"/>
          <w:sz w:val="24"/>
          <w:szCs w:val="24"/>
        </w:rPr>
        <w:t xml:space="preserve">likwidacja wymogu prowadzenia otwartych i konkurencyjnych naborów na wyższe stanowiska w służbie cywilnej, np. dyrektorów w urzędach administracji rządowej. Powołania na te stanowiska, od czasu wygrania przez PiS wyborów parlamentarnych, odbywają się na ogół w drodze zaproponowania stanowiska osobie z zewnątrz bez konieczności spełnienia jakichkolwiek kryteriów merytorycznych, najczęściej nominatom partyjnym bez wymaganych kompetencji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i doświadczenia. Prowadzi to do nieprzejrzystych i opartych o nietransparentne przesłanki nominacji na wyższe stanowiska w urzędach. Godzi to w etos pracy urzędnika </w:t>
      </w:r>
      <w:r w:rsidRPr="00784D37">
        <w:rPr>
          <w:rFonts w:ascii="Times New Roman" w:hAnsi="Times New Roman" w:cs="Times New Roman"/>
          <w:sz w:val="24"/>
          <w:szCs w:val="24"/>
        </w:rPr>
        <w:br/>
      </w:r>
      <w:r w:rsidRPr="00784D37">
        <w:rPr>
          <w:rFonts w:ascii="Times New Roman" w:hAnsi="Times New Roman" w:cs="Times New Roman"/>
          <w:sz w:val="24"/>
          <w:szCs w:val="24"/>
        </w:rPr>
        <w:lastRenderedPageBreak/>
        <w:t xml:space="preserve">w całej administracji publicznej, w tym samorządowej i prowadzi do postępującej degradacji prestiżu tego zawodu w oczach opinii publicznej. </w:t>
      </w:r>
    </w:p>
    <w:p w:rsidR="00784D37" w:rsidRPr="00784D37" w:rsidRDefault="00784D37" w:rsidP="00784D37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D37">
        <w:rPr>
          <w:rFonts w:ascii="Times New Roman" w:hAnsi="Times New Roman" w:cs="Times New Roman"/>
          <w:sz w:val="24"/>
          <w:szCs w:val="24"/>
        </w:rPr>
        <w:t xml:space="preserve">W przeciwieństwie do obowiązujących zasad naborów na wyższe stanowiska urzędnicze w administracji rządowej, w Urzędzie Marszałkowskim Województwa Pomorskiego (dalej: UMWP) obowiązują przejrzyste i konkurencyjne zasady zatrudniania oraz awansowania pracowników. Zdecydowana większość osób zajmujących dziś stanowiska kierownicze pochodzi z tzw. awansów pionowych, poprzedzonych często wieloletnią pracą w UMWP. Zatrudnieni pracownicy samorządowi w UMWP </w:t>
      </w:r>
      <w:r w:rsidRPr="00784D37">
        <w:rPr>
          <w:rFonts w:ascii="Times New Roman" w:hAnsi="Times New Roman" w:cs="Times New Roman"/>
          <w:sz w:val="24"/>
          <w:szCs w:val="24"/>
          <w:shd w:val="clear" w:color="auto" w:fill="FFFFFF"/>
        </w:rPr>
        <w:t>należycie dbają o wykonywanie zadań publicznych oraz o środki publiczne.</w:t>
      </w:r>
    </w:p>
    <w:p w:rsidR="00784D37" w:rsidRPr="00784D37" w:rsidRDefault="00784D37" w:rsidP="00784D37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D37">
        <w:rPr>
          <w:rFonts w:ascii="Times New Roman" w:hAnsi="Times New Roman" w:cs="Times New Roman"/>
          <w:sz w:val="24"/>
          <w:szCs w:val="24"/>
        </w:rPr>
        <w:t xml:space="preserve">Odnosząc się szczegółowo do przedstawionych w treści Pańskiej interpelacji kwestii, wyjaśniam, co następuje.  </w:t>
      </w:r>
    </w:p>
    <w:p w:rsidR="00784D37" w:rsidRPr="00784D37" w:rsidRDefault="00784D37" w:rsidP="00784D37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D37">
        <w:rPr>
          <w:rFonts w:ascii="Times New Roman" w:hAnsi="Times New Roman" w:cs="Times New Roman"/>
          <w:b/>
          <w:sz w:val="24"/>
          <w:szCs w:val="24"/>
        </w:rPr>
        <w:t xml:space="preserve">Ad 1 i 3. </w:t>
      </w:r>
      <w:r w:rsidRPr="00784D37">
        <w:rPr>
          <w:rFonts w:ascii="Times New Roman" w:hAnsi="Times New Roman" w:cs="Times New Roman"/>
          <w:sz w:val="24"/>
          <w:szCs w:val="24"/>
        </w:rPr>
        <w:t xml:space="preserve">Odnośnie zmiany budżetu województwa na 2022 rok w celu wypracowania środków na wzrost wynagrodzeń dla pracowników oraz przedstawienia propozycji w tym zakresie, na wstępie - niezależnie od wprowadzonych w UMWP rozwiązań płacowych - chciałbym zapewnić Pana Radnego, że wykonując prawa i obowiązki pracodawcy dostrzegam pogarszającą się sytuację gospodarczą w naszym kraju przejawiającą się gwałtownym wzrostem obciążeń związanych ze spłatą kredytów mieszkaniowych i niespotykaną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od dziesięcioleci dwucyfrową inflacją, co negatywnie wpływa na poziom życia pracowników. </w:t>
      </w:r>
    </w:p>
    <w:p w:rsidR="00784D37" w:rsidRPr="00784D37" w:rsidRDefault="00784D37" w:rsidP="00784D37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D37">
        <w:rPr>
          <w:rFonts w:ascii="Times New Roman" w:hAnsi="Times New Roman" w:cs="Times New Roman"/>
          <w:sz w:val="24"/>
          <w:szCs w:val="24"/>
        </w:rPr>
        <w:t xml:space="preserve">Pomimo ograniczonych możliwości budżetowych, pragnę wyraźnie zaznaczyć,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że na przestrzeni ostatnich lat polityka płacowa UMWP ukierunkowana była na zapewnienie pracownikom jak najlepszych poziomów wynagrodzeń. W samym tylko roku 2021 wzrost wynagrodzeń pracowników wyniósł średnio 18% wynagrodzenia miesięcznego. Naszym celem było ukształtowanie wynagrodzeń w taki sposób, by z jednej strony średnia pensja </w:t>
      </w:r>
      <w:r w:rsidRPr="00784D37">
        <w:rPr>
          <w:rFonts w:ascii="Times New Roman" w:hAnsi="Times New Roman" w:cs="Times New Roman"/>
          <w:sz w:val="24"/>
          <w:szCs w:val="24"/>
        </w:rPr>
        <w:br/>
        <w:t>w UMWP nie odbiegała od średniego poziomu płacy w kraju, a z drugiej od standardów wynagrodzeń w całym sektorze administracji publicznej.</w:t>
      </w:r>
      <w:r w:rsidRPr="00784D37">
        <w:rPr>
          <w:rFonts w:ascii="Times New Roman" w:hAnsi="Times New Roman" w:cs="Times New Roman"/>
          <w:sz w:val="24"/>
          <w:szCs w:val="24"/>
        </w:rPr>
        <w:tab/>
      </w:r>
      <w:r w:rsidRPr="00784D37">
        <w:rPr>
          <w:rFonts w:ascii="Times New Roman" w:hAnsi="Times New Roman" w:cs="Times New Roman"/>
          <w:sz w:val="24"/>
          <w:szCs w:val="24"/>
        </w:rPr>
        <w:tab/>
      </w:r>
    </w:p>
    <w:p w:rsidR="00784D37" w:rsidRPr="00784D37" w:rsidRDefault="00784D37" w:rsidP="00784D37">
      <w:pPr>
        <w:spacing w:after="24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D37">
        <w:rPr>
          <w:rFonts w:ascii="Times New Roman" w:hAnsi="Times New Roman" w:cs="Times New Roman"/>
          <w:sz w:val="24"/>
          <w:szCs w:val="24"/>
        </w:rPr>
        <w:t xml:space="preserve">W tym miejscu należy wskazać, że ważny krok, w celu dodatkowego uatrakcyjnienia warunków finansowych oferowanych przez UMWP, został podjęty w tym roku, bowiem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od 1 stycznia br. wprowadziliśmy możliwość przyznania pracownikom premii motywacyjnych </w:t>
      </w:r>
      <w:r w:rsidRPr="00784D37">
        <w:rPr>
          <w:rFonts w:ascii="Times New Roman" w:hAnsi="Times New Roman" w:cs="Times New Roman"/>
          <w:sz w:val="24"/>
          <w:szCs w:val="24"/>
        </w:rPr>
        <w:br/>
        <w:t>dla osób szczególnie efektywnie wykonujących pracę. Warto dodać, że UMWP wypełnia misję przyjaznego pracodawcy poprzez m.in. dbałość o pozapłacowe systemy motywacyjne.</w:t>
      </w:r>
    </w:p>
    <w:p w:rsidR="00784D37" w:rsidRPr="00784D37" w:rsidRDefault="00784D37" w:rsidP="00784D37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D37">
        <w:rPr>
          <w:rFonts w:ascii="Times New Roman" w:hAnsi="Times New Roman" w:cs="Times New Roman"/>
          <w:sz w:val="24"/>
          <w:szCs w:val="24"/>
        </w:rPr>
        <w:lastRenderedPageBreak/>
        <w:t xml:space="preserve">Kwestia wysokości wynagrodzeń nie jest jednak wyłącznie problemem UMWP, lecz wszystkich pracodawców, a zwłaszcza sektora samorządowego. Samorządy lokalne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nie otrzymują z budżetu państwa adekwatnych środków pieniężnych na finansowanie pracowników realizujących zadania zlecone z zakresu administracji rządowej. Z wyliczeń samego UMWP wynika, że w latach 2015-2021 Samorząd Województwa Pomorskiego przeznaczył ponad 10 mln zł na pokrycie kosztów zatrudnienia pracowników, którzy powinni być w całości sfinansowani z budżetu państwa. Samorząd Województwa zmuszony jest dochodzić tych należności na drodze sądowej, lecz jest to długotrwała procedura. Dopiero wyrokiem z dnia 23 września 2021 r. Sygn. akt I C 1298/17 Sąd Okręgowy w Gdańsku zasądził od Skarbu Państwa – Wojewody Pomorskiego na rzecz Województwa Pomorskiego kwotę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997.284,64 zł wraz z odsetkami tytułem kosztów poniesionych w 2015 r. na realizację zadań zleconych z zakresu administracji rządowej. </w:t>
      </w:r>
    </w:p>
    <w:p w:rsidR="00784D37" w:rsidRPr="00784D37" w:rsidRDefault="00784D37" w:rsidP="00784D37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Istotnym czynnikiem mającym oddziaływanie na sytuację finansową Województwa </w:t>
      </w:r>
      <w:r w:rsidRPr="00784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są wpływy z tytułu udziałów w CIT stanowiące około 70% dochodów własnych Województwa i około 60% dochodów ogółem. Rozchwiana polityka finansów publicznych obecnego rządu ma niestety duży wpływ na zmienność dochodów samorządów. </w:t>
      </w:r>
    </w:p>
    <w:p w:rsidR="00784D37" w:rsidRPr="00784D37" w:rsidRDefault="00784D37" w:rsidP="00784D37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D37">
        <w:rPr>
          <w:rFonts w:ascii="Times New Roman" w:hAnsi="Times New Roman" w:cs="Times New Roman"/>
          <w:sz w:val="24"/>
          <w:szCs w:val="24"/>
        </w:rPr>
        <w:t xml:space="preserve">Zwracam uwagę, że administrację Samorządu Województwa Pomorskiego tworzy kilkanaście tysięcy pracowników realizujących ustawowe zadania Województwa, przy czym wynagrodzenia 950 pracowników Urzędu i 2270 pracowników wojewódzkich samorządowych jednostek organizacyjnych Województwa Pomorskiego (dalej: wsjo) finansowane są z budżetu Województwa. Potencjalne podwyżki wynagrodzenia obciążające budżet Województwa obejmowałyby więc aż 3220 pracowników samorządowych. Pensje osób realizujących zadania samorządu województwa w regionie, niezależnie od miejsca pracy, powinny być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ze sobą skorelowane. Mając to na uwadze i planując ewentualne podwyższenie o 20% wynagrodzeń pracowników UMWP należy pamiętać, że podobnej skali regulacje płacowe trzeba by zastosować również wobec pracowników samorządowych wsjo. Oznaczałoby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to konieczność wygospodarowania z budżetu Województwa na 2022 rok środków w wysokości około 60 mln zł. Podjęcie takiej decyzji, przy niestety coraz niższych wpływach do budżetu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z powodu m.in. zmian podatkowych i niewystarczających dotacji z budżetu państwa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na finansowanie zadań zleconych, stanowiłoby dodatkowe obciążenie dla budżetu Województwa. </w:t>
      </w:r>
    </w:p>
    <w:p w:rsidR="00784D37" w:rsidRPr="00784D37" w:rsidRDefault="00784D37" w:rsidP="00784D37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D37">
        <w:rPr>
          <w:rFonts w:ascii="Times New Roman" w:hAnsi="Times New Roman" w:cs="Times New Roman"/>
          <w:sz w:val="24"/>
          <w:szCs w:val="24"/>
        </w:rPr>
        <w:t xml:space="preserve">Niewątpliwie aby utrzymać godne warunki wynagradzania pracowników odpowiadające poziomowi wynagrodzeń w innych samorządach istnieje potrzeba dokonania </w:t>
      </w:r>
      <w:r w:rsidRPr="00784D37">
        <w:rPr>
          <w:rFonts w:ascii="Times New Roman" w:hAnsi="Times New Roman" w:cs="Times New Roman"/>
          <w:sz w:val="24"/>
          <w:szCs w:val="24"/>
        </w:rPr>
        <w:lastRenderedPageBreak/>
        <w:t xml:space="preserve">kolejnych zmian budżetu Województwa. Zmiany te muszą jednak uwzględniać aktualną oraz prognozowaną sytuację gospodarczą kraju, jak i sytuację finansową Województwa, </w:t>
      </w:r>
      <w:r w:rsidRPr="00784D37">
        <w:rPr>
          <w:rFonts w:ascii="Times New Roman" w:hAnsi="Times New Roman" w:cs="Times New Roman"/>
          <w:sz w:val="24"/>
          <w:szCs w:val="24"/>
        </w:rPr>
        <w:br/>
        <w:t>m.in. wzrost cen energii, kosztów inwestycji, obsługi zadłużenia czy też zmniejszone wpływy do budżetu.</w:t>
      </w:r>
    </w:p>
    <w:p w:rsidR="00784D37" w:rsidRPr="00784D37" w:rsidRDefault="00784D37" w:rsidP="00784D37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D37">
        <w:rPr>
          <w:rFonts w:ascii="Times New Roman" w:hAnsi="Times New Roman" w:cs="Times New Roman"/>
          <w:sz w:val="24"/>
          <w:szCs w:val="24"/>
        </w:rPr>
        <w:t xml:space="preserve">Należy przy tym pamiętać o dużej niepewności co do założeń makroekonomicznych istotnych dla planowania zmian budżetu obecnego i budżetu na kolejny rok. Obrazuje to fakt, że prognozowany poziom inflacji i PKB zakładany </w:t>
      </w:r>
      <w:r w:rsidRPr="00784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etapie prac nad projektem budżetu Województwa na rok 2022 stanowił odpowiednio 2,8% i 4,3% i jak się okazało był zupełnie chybiony przez Narodowy Bank Polski (dalej: NBP). Zgodnie z informacjami Głównego Urzędu Statystycznego w czerwcu br. inflacja osiągnęła poziom 15,5%, a najnowsze prognozy NBP zakładają szczyt inflacji na początku przyszłego roku – ze scenariuszem pesymistycznym 26% i scenariuszem najbardziej realnym 18,8% inflacji (zgodnie z </w:t>
      </w:r>
      <w:r w:rsidRPr="00784D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Projekcją inflacji i PKB </w:t>
      </w:r>
      <w:r w:rsidRPr="00784D37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zawartą w lipcowym Raporcie o inflacji udostępnianym przez NBP).</w:t>
      </w:r>
    </w:p>
    <w:p w:rsidR="00784D37" w:rsidRPr="00784D37" w:rsidRDefault="00784D37" w:rsidP="00784D37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Dlatego też Zarząd Województwa Pomorskiego prowadząc prace związane z projektem budżetu Województwa na rok 2023 dopiero po: </w:t>
      </w:r>
    </w:p>
    <w:p w:rsidR="00784D37" w:rsidRPr="00784D37" w:rsidRDefault="00784D37" w:rsidP="00784D37">
      <w:pPr>
        <w:pStyle w:val="Akapitzlist"/>
        <w:numPr>
          <w:ilvl w:val="0"/>
          <w:numId w:val="38"/>
        </w:numPr>
        <w:tabs>
          <w:tab w:val="left" w:pos="1276"/>
        </w:tabs>
        <w:autoSpaceDE w:val="0"/>
        <w:autoSpaceDN w:val="0"/>
        <w:adjustRightInd w:val="0"/>
        <w:spacing w:after="240" w:line="360" w:lineRule="auto"/>
        <w:ind w:left="1276" w:hanging="1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uzyskaniu Informacji Ministra Finansów, Funduszy i Polityki Regionalnej o kwocie wpływów z tytułu udziałów w podatku dochodowym od osób prawnych CIT i udziałów w podatku dochodowym od osób fizycznych PIT przekazywanej jednostkom samorządu terytorialnego do dnia 15 października, </w:t>
      </w:r>
    </w:p>
    <w:p w:rsidR="00784D37" w:rsidRPr="00784D37" w:rsidRDefault="00784D37" w:rsidP="00784D37">
      <w:pPr>
        <w:pStyle w:val="Akapitzlist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after="240" w:line="360" w:lineRule="auto"/>
        <w:ind w:left="13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D37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możliwych do oszacowania skutkach kryzysu gospodarczego,</w:t>
      </w:r>
    </w:p>
    <w:p w:rsidR="00784D37" w:rsidRPr="00784D37" w:rsidRDefault="00784D37" w:rsidP="00784D37">
      <w:pPr>
        <w:pStyle w:val="Akapitzlist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after="240" w:line="360" w:lineRule="auto"/>
        <w:ind w:left="13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ustaleniu ewentualnej nadwyżki operacyjnej </w:t>
      </w:r>
    </w:p>
    <w:p w:rsidR="00784D37" w:rsidRPr="00784D37" w:rsidRDefault="00784D37" w:rsidP="00784D37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D37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mógł z pełną odpowiedzialnością co do możliwości finansowych Województwa podejmować decyzje finansowe mające wpływ na projekt budżetu na rok 2023, niewątpliwie też te wiążące się z wynagrodzeniami pracowników.</w:t>
      </w:r>
    </w:p>
    <w:p w:rsidR="00784D37" w:rsidRPr="00784D37" w:rsidRDefault="00784D37" w:rsidP="00784D37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D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 2. </w:t>
      </w:r>
      <w:r w:rsidRPr="00784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kwestii Pańskiego zapytania dotyczącego podwyżek wynagrodzeń w wsjo informuję, że jednostki te funkcjonują i wykonują zadania publiczne na podstawie różnych aktów prawnych, które często regulują kwestie wynagrodzeń zatrudnianych pracowników. Poszczególne grupy zawodowe borykają się z indywidualnymi problemami w zakresie poziomu wynagrodzeń uzależnionymi przede wszystkim od działań władz centralnych </w:t>
      </w:r>
      <w:r w:rsidRPr="00784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rozwiązań przyjętych w powszechnie obowiązujących przepisach prawa.</w:t>
      </w:r>
    </w:p>
    <w:p w:rsidR="00784D37" w:rsidRPr="00784D37" w:rsidRDefault="00784D37" w:rsidP="00784D37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D37">
        <w:rPr>
          <w:rFonts w:ascii="Times New Roman" w:hAnsi="Times New Roman" w:cs="Times New Roman"/>
          <w:sz w:val="24"/>
          <w:szCs w:val="24"/>
        </w:rPr>
        <w:lastRenderedPageBreak/>
        <w:t xml:space="preserve">W tym miejscu dla przykładu chciałbym zwrócić uwagę na problem dotyczący wynagradzania tak ważnej i przywoływanej często w debacie publicznej grupy zawodowej jaką są nauczyciele oraz sposób ich potraktowania przez władze centralne. Niestety w dniu </w:t>
      </w:r>
      <w:r w:rsidRPr="00784D37">
        <w:rPr>
          <w:rFonts w:ascii="Times New Roman" w:hAnsi="Times New Roman" w:cs="Times New Roman"/>
          <w:sz w:val="24"/>
          <w:szCs w:val="24"/>
        </w:rPr>
        <w:br/>
        <w:t>28 kwietnia 2022 r. Sejm RP głosami 231 posłów głównie koalicji rządzącej odrzucił poprawki Senatu RP do projektu ustawy o zmianie ustawy Karta Nauczyciela zwiększającej średnie wynagrodzenie nauczycieli o 20%, a tym samym wzrost ten pozostał na poziomie jedynie 4,4%.</w:t>
      </w:r>
      <w:r w:rsidRPr="00784D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załączeniu przedstawiam informację dotyczącą podwyżek wynagrodzeń w wsjo </w:t>
      </w:r>
      <w:r w:rsidRPr="00784D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podziale na obszary realizowanych zadań.</w:t>
      </w:r>
      <w:r w:rsidRPr="00784D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4D37" w:rsidRPr="00784D37" w:rsidRDefault="00784D37" w:rsidP="00784D37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D37">
        <w:rPr>
          <w:rFonts w:ascii="Times New Roman" w:hAnsi="Times New Roman" w:cs="Times New Roman"/>
          <w:sz w:val="24"/>
          <w:szCs w:val="24"/>
        </w:rPr>
        <w:t xml:space="preserve">Podsumowując, informuję, że Samorząd Województwa Pomorskiego, pomimo trudnej sytuacji </w:t>
      </w:r>
      <w:r w:rsidRPr="00784D37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związanej z wysoką inflacją i nakręcaniem spirali cenowo-płacowej negatywnie oddziaływującej na dochody gospodarstw domowych, a także mając na uwadze działania rządu wymierzone w finansowanie samorządów terytorialnych, w miarę posiadanych możliwości i środków budżetowych prowadzi politykę płacową ukierunkowaną na zapewnienie pracownikom konkurencyjnych wynagrodzeń.</w:t>
      </w:r>
    </w:p>
    <w:p w:rsidR="00784D37" w:rsidRPr="00784D37" w:rsidRDefault="00784D37" w:rsidP="00784D37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D37">
        <w:rPr>
          <w:rFonts w:ascii="Times New Roman" w:hAnsi="Times New Roman" w:cs="Times New Roman"/>
          <w:sz w:val="24"/>
          <w:szCs w:val="24"/>
        </w:rPr>
        <w:t xml:space="preserve">Jednocześnie, korzystając z okazji, chciałbym zachęcić Pana Radnego, aby w trosce o wynagrodzenia pracowników, jako radny Województwa i jednocześnie Wiceprzewodniczący Komisji Budżetu i Finansów Sejmiku Województwa Pomorskiego, a także przedstawiciel partii rządzącej, podjął działania mające na celu doprowadzenie do jak najszybszego uregulowania zaległości Skarbu Państwa względem Województwa oraz zwiększenia udziału procentowego samorządów terytorialnych we wpływach z podatku dochodowego od osób fizycznych (PIT)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i prawnych (CIT), a także przyznania im udziału we wpływach z innych źródeł np. z podatku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od towarów i usług (VAT). Zagwarantowanie samorządom w Polsce stabilnych źródeł finansowania z pewnością przyczyni się do zapewnienia pracownikom lepszych warunków płacowych, a co za tym idzie zahamuje odpływ wartościowych osób z administracji publicznej. </w:t>
      </w:r>
      <w:r w:rsidRPr="00784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84D37" w:rsidRPr="00784D37" w:rsidRDefault="00784D37" w:rsidP="00784D37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4D37" w:rsidRDefault="00784D37" w:rsidP="00784D37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84D37" w:rsidRDefault="00784D37" w:rsidP="00784D37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84D37" w:rsidRDefault="00784D37" w:rsidP="00784D37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84D37" w:rsidRDefault="00784D37" w:rsidP="00784D37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84D37" w:rsidRDefault="00784D37" w:rsidP="00784D37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784D37" w:rsidRPr="00784D37" w:rsidRDefault="00784D37" w:rsidP="00784D37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1" w:name="_GoBack"/>
      <w:bookmarkEnd w:id="1"/>
      <w:r w:rsidRPr="00784D3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Załącznik do pisma z 28 lipca 2022 r. DKO-SW.0003.10.2022 (EOD: 39250/07/2022)</w:t>
      </w:r>
    </w:p>
    <w:p w:rsidR="00784D37" w:rsidRPr="00784D37" w:rsidRDefault="00784D37" w:rsidP="00784D37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4D37" w:rsidRPr="00784D37" w:rsidRDefault="00784D37" w:rsidP="00784D37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4D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podwyżek wynagrodzeń w wojewódzkich samorządowych jednostkach organizacyjnych Województwa Pomorskiego</w:t>
      </w:r>
    </w:p>
    <w:p w:rsidR="00784D37" w:rsidRPr="00784D37" w:rsidRDefault="00784D37" w:rsidP="00784D37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4D37" w:rsidRPr="00784D37" w:rsidRDefault="00784D37" w:rsidP="00784D37">
      <w:pPr>
        <w:pStyle w:val="Akapitzlist"/>
        <w:numPr>
          <w:ilvl w:val="0"/>
          <w:numId w:val="39"/>
        </w:num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4D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Edukacja</w:t>
      </w:r>
    </w:p>
    <w:p w:rsidR="00784D37" w:rsidRPr="00784D37" w:rsidRDefault="00784D37" w:rsidP="00784D37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kwestii wynagrodzeń pracowników szkół i placówek oświatowych należy wskazać, że </w:t>
      </w:r>
      <w:r w:rsidRPr="00784D37">
        <w:rPr>
          <w:rFonts w:ascii="Times New Roman" w:hAnsi="Times New Roman" w:cs="Times New Roman"/>
          <w:sz w:val="24"/>
          <w:szCs w:val="24"/>
        </w:rPr>
        <w:t xml:space="preserve">zatrudniani są w nich przede wszystkich nauczyciele, dla których corocznie wysokość minimalnych stawek wynagrodzenia zasadniczego, zgodnie z art. 30 ust. 5 pkt 1 ustawy Karta Nauczyciela (t.j. Dz. U. z 2021 r. poz. 1762 ze zm.), określa minister właściwy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ds. oświaty i wychowania. Ostatnia regulacja w tym zakresie miała miejsce w roku 2022 r.,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tj. Minister Edukacji i Nauki rozporządzeniem z dnia 13 maja 2022 r. ustalił następujące minimalne stawki wynagrodzenia zasadniczego nauczycieli, z dniem obowiązywania </w:t>
      </w:r>
      <w:r w:rsidRPr="00784D37">
        <w:rPr>
          <w:rFonts w:ascii="Times New Roman" w:hAnsi="Times New Roman" w:cs="Times New Roman"/>
          <w:sz w:val="24"/>
          <w:szCs w:val="24"/>
        </w:rPr>
        <w:br/>
        <w:t>od 1 maja 2022 r. dla:</w:t>
      </w:r>
      <w:r w:rsidRPr="00784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4D37">
        <w:rPr>
          <w:rFonts w:ascii="Times New Roman" w:hAnsi="Times New Roman" w:cs="Times New Roman"/>
          <w:sz w:val="24"/>
          <w:szCs w:val="24"/>
        </w:rPr>
        <w:t>nauczyciela stażysty – 3079 zł, co stanowiło wzrost o 130 zł;</w:t>
      </w:r>
      <w:r w:rsidRPr="00784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4D37">
        <w:rPr>
          <w:rFonts w:ascii="Times New Roman" w:hAnsi="Times New Roman" w:cs="Times New Roman"/>
          <w:sz w:val="24"/>
          <w:szCs w:val="24"/>
        </w:rPr>
        <w:t>nauczyciela kontraktowego – 3167 zł, co stanowiło wzrost o 133 zł,</w:t>
      </w:r>
      <w:r w:rsidRPr="00784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4D37">
        <w:rPr>
          <w:rFonts w:ascii="Times New Roman" w:hAnsi="Times New Roman" w:cs="Times New Roman"/>
          <w:sz w:val="24"/>
          <w:szCs w:val="24"/>
        </w:rPr>
        <w:t>nauczyciela mianowanego – 3597 zł, co stanowiło wzrost o 152 zł oraz nauczyciela dyplomowanego – 4224 zł, co stanowiło wzrost o 178 zł.</w:t>
      </w:r>
      <w:r w:rsidRPr="00784D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4D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4D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4D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4D3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84D37" w:rsidRPr="00784D37" w:rsidRDefault="00784D37" w:rsidP="00784D37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D37">
        <w:rPr>
          <w:rFonts w:ascii="Times New Roman" w:hAnsi="Times New Roman" w:cs="Times New Roman"/>
          <w:sz w:val="24"/>
          <w:szCs w:val="24"/>
        </w:rPr>
        <w:t>Obok wynagrodzenia zasadniczego na wynagrodzenia nauczycieli składają się dodatki przewidziane w art. 30 ust. 6 ustawy Karta Nauczyciela, których wysokość określa organ prowadzący.</w:t>
      </w:r>
      <w:r w:rsidRPr="00784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4D37">
        <w:rPr>
          <w:rFonts w:ascii="Times New Roman" w:hAnsi="Times New Roman" w:cs="Times New Roman"/>
          <w:sz w:val="24"/>
          <w:szCs w:val="24"/>
        </w:rPr>
        <w:t xml:space="preserve">W konsekwencji powyższego średnie wynagrodzenie nauczycieli w szkołach </w:t>
      </w:r>
      <w:r w:rsidRPr="00784D37">
        <w:rPr>
          <w:rFonts w:ascii="Times New Roman" w:hAnsi="Times New Roman" w:cs="Times New Roman"/>
          <w:sz w:val="24"/>
          <w:szCs w:val="24"/>
        </w:rPr>
        <w:br/>
        <w:t>i placówkach oświatowych prowadzonych przez Województwo Pomorskie wynosi 5485,34 zł.</w:t>
      </w:r>
      <w:r w:rsidRPr="00784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4D37">
        <w:rPr>
          <w:rFonts w:ascii="Times New Roman" w:hAnsi="Times New Roman" w:cs="Times New Roman"/>
          <w:sz w:val="24"/>
          <w:szCs w:val="24"/>
        </w:rPr>
        <w:t xml:space="preserve">Niezależnie od decyzji podejmowanych przez administrację rządową w odniesieniu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do wynagrodzeń zasadniczych nauczycieli, w miarę możliwości budżetu Województwa Pomorskiego, podejmowane były decyzje zwiększające wynagrodzenia pozostałych pracowników szkół i placówek oświatowych, tj. pracowników administracji i obsługi. Ostatnia regulacja w tym zakresie miała miejsce w styczniu 2022 r., tj. od 1 stycznia 2022 r. nastąpił wzrost wynagrodzeń pracowników administracji i obsługi średnio o 18%. W szkołach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i placówkach oświatowych prowadzonych przez Województwo Pomorskie od 1 stycznia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2022 r. średnie wynagrodzenie pracowników administracji wynosi 6019,44 zł, a pracowników obsługi – 3919,77 zł. </w:t>
      </w:r>
    </w:p>
    <w:p w:rsidR="00784D37" w:rsidRPr="00784D37" w:rsidRDefault="00784D37" w:rsidP="00784D37">
      <w:pPr>
        <w:pStyle w:val="Akapitzlist"/>
        <w:numPr>
          <w:ilvl w:val="0"/>
          <w:numId w:val="39"/>
        </w:num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4D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Ochrona zdrowia </w:t>
      </w:r>
    </w:p>
    <w:p w:rsidR="00784D37" w:rsidRPr="00784D37" w:rsidRDefault="00784D37" w:rsidP="00784D37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37">
        <w:rPr>
          <w:rFonts w:ascii="Times New Roman" w:hAnsi="Times New Roman" w:cs="Times New Roman"/>
          <w:sz w:val="24"/>
          <w:szCs w:val="24"/>
        </w:rPr>
        <w:tab/>
        <w:t xml:space="preserve">Odnośnie ochrony zdrowia należy wskazać, że wszystkie podmioty lecznicze Samorządu Województwa Pomorskiego, za wyjątkiem Wojewódzkiego Ośrodka Medycyny Pracy, finansowane są na podstawie umów z Narodowym Funduszem Zdrowia. Płace regulowane są przepisami prawa na poziomie poszczególnych zawodów medycznych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Niezależnie od powyższego cześć środków na wynagrodzenia jest przekazywana podmiotom leczniczym na podstawie odrębnych przepisów prawa wydawanych w ciągu ostatnich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7 lat, jak np. dodatki dla pielęgniarek i położnych, wynagrodzenia rezydentów i stażystów </w:t>
      </w:r>
      <w:r w:rsidRPr="00784D37">
        <w:rPr>
          <w:rFonts w:ascii="Times New Roman" w:hAnsi="Times New Roman" w:cs="Times New Roman"/>
          <w:sz w:val="24"/>
          <w:szCs w:val="24"/>
        </w:rPr>
        <w:br/>
        <w:t>czy dodatki covidowe.</w:t>
      </w:r>
    </w:p>
    <w:p w:rsidR="00784D37" w:rsidRPr="00784D37" w:rsidRDefault="00784D37" w:rsidP="00784D37">
      <w:pPr>
        <w:pStyle w:val="Akapitzlist"/>
        <w:numPr>
          <w:ilvl w:val="0"/>
          <w:numId w:val="39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D37">
        <w:rPr>
          <w:rFonts w:ascii="Times New Roman" w:hAnsi="Times New Roman" w:cs="Times New Roman"/>
          <w:b/>
          <w:sz w:val="24"/>
          <w:szCs w:val="24"/>
        </w:rPr>
        <w:t>Zagospodarowanie przestrzenne i ochrona środowiska</w:t>
      </w:r>
    </w:p>
    <w:p w:rsidR="00784D37" w:rsidRPr="00784D37" w:rsidRDefault="00784D37" w:rsidP="00784D37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37">
        <w:rPr>
          <w:rFonts w:ascii="Times New Roman" w:hAnsi="Times New Roman" w:cs="Times New Roman"/>
          <w:sz w:val="24"/>
          <w:szCs w:val="24"/>
        </w:rPr>
        <w:tab/>
        <w:t xml:space="preserve">W kwestii wynagrodzeń pracowników Pomorskiego Zespołu Parków Krajobrazowych w Słupsku, Pomorskiego Biura Planowania Regionalnego w Gdańsku oraz Wojewódzkiego Biura Geodezji i Terenów Rolnych w Gdańsku, informuję, że w styczniu 2022 r. nastąpił odpowiednio wzrost średnio o około 20%, 19% i 18% wynagrodzenia brutto. </w:t>
      </w:r>
    </w:p>
    <w:p w:rsidR="00784D37" w:rsidRPr="00784D37" w:rsidRDefault="00784D37" w:rsidP="00784D37">
      <w:pPr>
        <w:pStyle w:val="Akapitzlist"/>
        <w:numPr>
          <w:ilvl w:val="0"/>
          <w:numId w:val="39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D37">
        <w:rPr>
          <w:rFonts w:ascii="Times New Roman" w:hAnsi="Times New Roman" w:cs="Times New Roman"/>
          <w:b/>
          <w:sz w:val="24"/>
          <w:szCs w:val="24"/>
        </w:rPr>
        <w:t xml:space="preserve">Transport i drogownictwo </w:t>
      </w:r>
    </w:p>
    <w:p w:rsidR="00784D37" w:rsidRPr="00784D37" w:rsidRDefault="00784D37" w:rsidP="00784D37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D37">
        <w:rPr>
          <w:rFonts w:ascii="Times New Roman" w:hAnsi="Times New Roman" w:cs="Times New Roman"/>
          <w:sz w:val="24"/>
          <w:szCs w:val="24"/>
        </w:rPr>
        <w:tab/>
        <w:t xml:space="preserve">Odnośnie Zarządu Dróg Wojewódzkich w Gdańsku (dalej: ZDW) wskazuję,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że ostatnia podwyżka wynagrodzeń pracowników ZDW miała miejsce we wrześniu 2021 r.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(z wyrównaniem od miesiąca sierpnia) i w skali roku kształtowała się na poziomie 7,39%,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co realnie  przełożyło się na faktyczny wzrost wynagrodzeń od miesiąca sierpnia do grudnia 2021 r. średnio o 15,4% na jednego pracownika. </w:t>
      </w:r>
    </w:p>
    <w:p w:rsidR="00784D37" w:rsidRPr="00784D37" w:rsidRDefault="00784D37" w:rsidP="00784D37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D37">
        <w:rPr>
          <w:rFonts w:ascii="Times New Roman" w:hAnsi="Times New Roman" w:cs="Times New Roman"/>
          <w:sz w:val="24"/>
          <w:szCs w:val="24"/>
        </w:rPr>
        <w:t xml:space="preserve">W kwestii wojewódzkich ośrodków ruchu drogowego wyjaśniam, że są one samorządowymi jednostkami organizacyjnymi posiadającymi osobowość prawną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i samofinasującymi się. Zasadniczy wzrost wynagrodzeń w ww. ośrodkach będzie możliwy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w przypadku podwyżki opłat za egzaminy pozostających bez zmian od 2013 r., a które zostały uregulowane w rozporządzeniu Ministra Transportu, Budownictwa i Gospodarki Morskiej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z dnia 16 stycznia 2013 r. w sprawie wysokości opłat za przeprowadzenie egzaminu państwowego oraz stawek wynagrodzenia związanych z uzyskiwaniem uprawnień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przez egzaminatorów (t.j. Dz. U. z 2014 r., poz. 974). Jednocześnie należy zaznaczyć,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że wynagrodzenie egzaminatorów jest regulowane rozporządzeniem Ministra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Transportu z dnia 11 października 2007 r. w sprawie warunków wynagradzania </w:t>
      </w:r>
      <w:r w:rsidRPr="00784D37">
        <w:rPr>
          <w:rFonts w:ascii="Times New Roman" w:hAnsi="Times New Roman" w:cs="Times New Roman"/>
          <w:sz w:val="24"/>
          <w:szCs w:val="24"/>
        </w:rPr>
        <w:br/>
      </w:r>
      <w:r w:rsidRPr="00784D37">
        <w:rPr>
          <w:rFonts w:ascii="Times New Roman" w:hAnsi="Times New Roman" w:cs="Times New Roman"/>
          <w:sz w:val="24"/>
          <w:szCs w:val="24"/>
        </w:rPr>
        <w:lastRenderedPageBreak/>
        <w:t xml:space="preserve">egzaminatorów przeprowadzających egzaminy kandydatów na kierowców i kierowców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(Dz. U. z 2007 r. Nr 197, poz. 1437). </w:t>
      </w:r>
    </w:p>
    <w:p w:rsidR="00784D37" w:rsidRPr="00784D37" w:rsidRDefault="00784D37" w:rsidP="00784D37">
      <w:pPr>
        <w:pStyle w:val="Akapitzlist"/>
        <w:numPr>
          <w:ilvl w:val="0"/>
          <w:numId w:val="39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D37">
        <w:rPr>
          <w:rFonts w:ascii="Times New Roman" w:hAnsi="Times New Roman" w:cs="Times New Roman"/>
          <w:b/>
          <w:sz w:val="24"/>
          <w:szCs w:val="24"/>
        </w:rPr>
        <w:t xml:space="preserve">Kultura </w:t>
      </w:r>
    </w:p>
    <w:p w:rsidR="00784D37" w:rsidRPr="00784D37" w:rsidRDefault="00784D37" w:rsidP="00784D37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D37">
        <w:rPr>
          <w:rFonts w:ascii="Times New Roman" w:hAnsi="Times New Roman" w:cs="Times New Roman"/>
          <w:sz w:val="24"/>
          <w:szCs w:val="24"/>
        </w:rPr>
        <w:t xml:space="preserve">Odnosząc się do wynagrodzeń pracowników instytucji kultury należy wskazać,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że Samorząd Województwa Pomorskiego w miarę możliwości budżetowych w ostatnich latach zwiększał dotacje dla instytucji kultury z przeznaczeniem na wzrost wynagrodzeń,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w tym w 2018 r. - 5 443 460 zł, a w 2020 r. - 11 810 000 zł. Uchwałą Nr 470/XXXIX/21 Sejmiku Województwa Pomorskiego z dnia 20 grudnia 2021 r. został przyjęty budżet Województwa </w:t>
      </w:r>
      <w:r w:rsidRPr="00784D37">
        <w:rPr>
          <w:rFonts w:ascii="Times New Roman" w:hAnsi="Times New Roman" w:cs="Times New Roman"/>
          <w:sz w:val="24"/>
          <w:szCs w:val="24"/>
        </w:rPr>
        <w:br/>
        <w:t xml:space="preserve">na 2022 rok, w którym dotacje podmiotowe dla instytucji kultury uwzględniają podwyżki wynagrodzeń dla pracowników (w średniej wysokości 10% w stosunku do wynagrodzenia brutto dla pracowników wojewódzkich instytucji kultury oraz w średniej wysokości 5% </w:t>
      </w:r>
      <w:r w:rsidRPr="00784D37">
        <w:rPr>
          <w:rFonts w:ascii="Times New Roman" w:hAnsi="Times New Roman" w:cs="Times New Roman"/>
          <w:sz w:val="24"/>
          <w:szCs w:val="24"/>
        </w:rPr>
        <w:br/>
        <w:t>w stosunku do wynagrodzenia brutto dla pracowników instytucji współprowadzonych).</w:t>
      </w:r>
    </w:p>
    <w:p w:rsidR="00784D37" w:rsidRPr="00784D37" w:rsidRDefault="00784D37" w:rsidP="00784D37">
      <w:pPr>
        <w:pStyle w:val="Akapitzlist"/>
        <w:numPr>
          <w:ilvl w:val="0"/>
          <w:numId w:val="39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D37">
        <w:rPr>
          <w:rFonts w:ascii="Times New Roman" w:hAnsi="Times New Roman" w:cs="Times New Roman"/>
          <w:b/>
          <w:sz w:val="24"/>
          <w:szCs w:val="24"/>
        </w:rPr>
        <w:t xml:space="preserve">Pomoc społeczna i przeciwdziałanie bezrobociu </w:t>
      </w:r>
    </w:p>
    <w:p w:rsidR="00784D37" w:rsidRPr="00784D37" w:rsidRDefault="00784D37" w:rsidP="00784D37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D37">
        <w:rPr>
          <w:rFonts w:ascii="Times New Roman" w:hAnsi="Times New Roman" w:cs="Times New Roman"/>
          <w:sz w:val="24"/>
          <w:szCs w:val="24"/>
        </w:rPr>
        <w:t xml:space="preserve">Odnośnie pracowników instytucji z zakresu pomocy społecznej i przeciwdziałaniu bezrobociu informuję, że wzrost wynagrodzeń pracowników Pomorskiego Ośrodka Adopcyjnego w Gdańsku, Domu im. J. Korczaka Regionalnej Placówki Opiekuńczo-Terapeutycznej w Gdańsku oraz Wojewódzkiego Urzędu Pracy w Gdańsku nastąpił </w:t>
      </w:r>
      <w:r w:rsidRPr="00784D37">
        <w:rPr>
          <w:rFonts w:ascii="Times New Roman" w:hAnsi="Times New Roman" w:cs="Times New Roman"/>
          <w:sz w:val="24"/>
          <w:szCs w:val="24"/>
        </w:rPr>
        <w:br/>
        <w:t>od stycznia 2022 r. i stanowi odpowiednio około 18%, 18% i 13%.</w:t>
      </w:r>
    </w:p>
    <w:p w:rsidR="00CD617A" w:rsidRPr="00784D37" w:rsidRDefault="00CD617A" w:rsidP="00784D37">
      <w:pPr>
        <w:pStyle w:val="Teksttreci4"/>
        <w:shd w:val="clear" w:color="auto" w:fill="auto"/>
        <w:spacing w:after="240" w:line="360" w:lineRule="auto"/>
        <w:jc w:val="both"/>
        <w:rPr>
          <w:rFonts w:ascii="Times New Roman" w:hAnsi="Times New Roman" w:cs="Times New Roman"/>
          <w:bCs/>
          <w:color w:val="0E0E16"/>
          <w:sz w:val="24"/>
          <w:szCs w:val="24"/>
        </w:rPr>
      </w:pPr>
    </w:p>
    <w:bookmarkEnd w:id="0"/>
    <w:sectPr w:rsidR="00CD617A" w:rsidRPr="00784D37" w:rsidSect="0013235A">
      <w:pgSz w:w="11900" w:h="16840"/>
      <w:pgMar w:top="1247" w:right="1418" w:bottom="124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35" w:rsidRDefault="00DD1235" w:rsidP="006E62E0">
      <w:pPr>
        <w:spacing w:after="0" w:line="240" w:lineRule="auto"/>
      </w:pPr>
      <w:r>
        <w:separator/>
      </w:r>
    </w:p>
  </w:endnote>
  <w:endnote w:type="continuationSeparator" w:id="0">
    <w:p w:rsidR="00DD1235" w:rsidRDefault="00DD1235" w:rsidP="006E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35" w:rsidRDefault="00DD1235" w:rsidP="006E62E0">
      <w:pPr>
        <w:spacing w:after="0" w:line="240" w:lineRule="auto"/>
      </w:pPr>
      <w:r>
        <w:separator/>
      </w:r>
    </w:p>
  </w:footnote>
  <w:footnote w:type="continuationSeparator" w:id="0">
    <w:p w:rsidR="00DD1235" w:rsidRDefault="00DD1235" w:rsidP="006E6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012"/>
    <w:multiLevelType w:val="hybridMultilevel"/>
    <w:tmpl w:val="2E1E8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0CCE"/>
    <w:multiLevelType w:val="hybridMultilevel"/>
    <w:tmpl w:val="DACC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436D"/>
    <w:multiLevelType w:val="hybridMultilevel"/>
    <w:tmpl w:val="1DFA63C8"/>
    <w:lvl w:ilvl="0" w:tplc="C36C8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896CFD"/>
    <w:multiLevelType w:val="hybridMultilevel"/>
    <w:tmpl w:val="E6B43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65B4"/>
    <w:multiLevelType w:val="hybridMultilevel"/>
    <w:tmpl w:val="67046AD4"/>
    <w:lvl w:ilvl="0" w:tplc="D876E3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B35722"/>
    <w:multiLevelType w:val="hybridMultilevel"/>
    <w:tmpl w:val="3AFAE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E5999"/>
    <w:multiLevelType w:val="hybridMultilevel"/>
    <w:tmpl w:val="2CCAA78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D2423F7"/>
    <w:multiLevelType w:val="hybridMultilevel"/>
    <w:tmpl w:val="2A08E028"/>
    <w:lvl w:ilvl="0" w:tplc="4F7E2F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601C5"/>
    <w:multiLevelType w:val="hybridMultilevel"/>
    <w:tmpl w:val="9F4EE970"/>
    <w:lvl w:ilvl="0" w:tplc="E3CEEC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1368C"/>
    <w:multiLevelType w:val="multilevel"/>
    <w:tmpl w:val="0754783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540F0C"/>
    <w:multiLevelType w:val="hybridMultilevel"/>
    <w:tmpl w:val="EF5A0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D17F9"/>
    <w:multiLevelType w:val="hybridMultilevel"/>
    <w:tmpl w:val="D3948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70061C"/>
    <w:multiLevelType w:val="hybridMultilevel"/>
    <w:tmpl w:val="0F08EB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54E63"/>
    <w:multiLevelType w:val="hybridMultilevel"/>
    <w:tmpl w:val="0FF46C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AE7D38"/>
    <w:multiLevelType w:val="hybridMultilevel"/>
    <w:tmpl w:val="301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B1081"/>
    <w:multiLevelType w:val="hybridMultilevel"/>
    <w:tmpl w:val="A47CB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57F6B"/>
    <w:multiLevelType w:val="hybridMultilevel"/>
    <w:tmpl w:val="FC48E7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B46E3C"/>
    <w:multiLevelType w:val="multilevel"/>
    <w:tmpl w:val="982070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AB146B"/>
    <w:multiLevelType w:val="hybridMultilevel"/>
    <w:tmpl w:val="C34E43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C206A"/>
    <w:multiLevelType w:val="hybridMultilevel"/>
    <w:tmpl w:val="784A2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642DA"/>
    <w:multiLevelType w:val="hybridMultilevel"/>
    <w:tmpl w:val="D29081FE"/>
    <w:lvl w:ilvl="0" w:tplc="A9CA1F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53C03"/>
    <w:multiLevelType w:val="multilevel"/>
    <w:tmpl w:val="008A2804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36F1A5B"/>
    <w:multiLevelType w:val="hybridMultilevel"/>
    <w:tmpl w:val="82DA5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B5902"/>
    <w:multiLevelType w:val="hybridMultilevel"/>
    <w:tmpl w:val="0530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E6E2E"/>
    <w:multiLevelType w:val="hybridMultilevel"/>
    <w:tmpl w:val="33C0DE86"/>
    <w:lvl w:ilvl="0" w:tplc="99223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636C1"/>
    <w:multiLevelType w:val="multilevel"/>
    <w:tmpl w:val="2A068ACE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FFC224D"/>
    <w:multiLevelType w:val="hybridMultilevel"/>
    <w:tmpl w:val="6B46B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34F21"/>
    <w:multiLevelType w:val="hybridMultilevel"/>
    <w:tmpl w:val="D65C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829C1"/>
    <w:multiLevelType w:val="hybridMultilevel"/>
    <w:tmpl w:val="08A2A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85CD5"/>
    <w:multiLevelType w:val="hybridMultilevel"/>
    <w:tmpl w:val="47982786"/>
    <w:lvl w:ilvl="0" w:tplc="4E14D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74954"/>
    <w:multiLevelType w:val="hybridMultilevel"/>
    <w:tmpl w:val="A1AAA8D0"/>
    <w:lvl w:ilvl="0" w:tplc="99223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45CC1"/>
    <w:multiLevelType w:val="hybridMultilevel"/>
    <w:tmpl w:val="DE8C3126"/>
    <w:lvl w:ilvl="0" w:tplc="9A22A3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F80B2C"/>
    <w:multiLevelType w:val="hybridMultilevel"/>
    <w:tmpl w:val="712643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AD5ECF"/>
    <w:multiLevelType w:val="multilevel"/>
    <w:tmpl w:val="9E94FEAC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9BA30BB"/>
    <w:multiLevelType w:val="hybridMultilevel"/>
    <w:tmpl w:val="440E3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97C6B"/>
    <w:multiLevelType w:val="multilevel"/>
    <w:tmpl w:val="C666CD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AD7426"/>
    <w:multiLevelType w:val="hybridMultilevel"/>
    <w:tmpl w:val="2E32C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F0DB1"/>
    <w:multiLevelType w:val="hybridMultilevel"/>
    <w:tmpl w:val="CE0C2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5F2863"/>
    <w:multiLevelType w:val="hybridMultilevel"/>
    <w:tmpl w:val="50789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25"/>
  </w:num>
  <w:num w:numId="4">
    <w:abstractNumId w:val="33"/>
  </w:num>
  <w:num w:numId="5">
    <w:abstractNumId w:val="12"/>
  </w:num>
  <w:num w:numId="6">
    <w:abstractNumId w:val="28"/>
  </w:num>
  <w:num w:numId="7">
    <w:abstractNumId w:val="0"/>
  </w:num>
  <w:num w:numId="8">
    <w:abstractNumId w:val="8"/>
  </w:num>
  <w:num w:numId="9">
    <w:abstractNumId w:val="5"/>
  </w:num>
  <w:num w:numId="10">
    <w:abstractNumId w:val="18"/>
  </w:num>
  <w:num w:numId="11">
    <w:abstractNumId w:val="17"/>
  </w:num>
  <w:num w:numId="12">
    <w:abstractNumId w:val="9"/>
  </w:num>
  <w:num w:numId="13">
    <w:abstractNumId w:val="38"/>
  </w:num>
  <w:num w:numId="14">
    <w:abstractNumId w:val="14"/>
  </w:num>
  <w:num w:numId="15">
    <w:abstractNumId w:val="37"/>
  </w:num>
  <w:num w:numId="16">
    <w:abstractNumId w:val="19"/>
  </w:num>
  <w:num w:numId="17">
    <w:abstractNumId w:val="30"/>
  </w:num>
  <w:num w:numId="18">
    <w:abstractNumId w:val="24"/>
  </w:num>
  <w:num w:numId="1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</w:num>
  <w:num w:numId="21">
    <w:abstractNumId w:val="3"/>
  </w:num>
  <w:num w:numId="22">
    <w:abstractNumId w:val="15"/>
  </w:num>
  <w:num w:numId="23">
    <w:abstractNumId w:val="22"/>
  </w:num>
  <w:num w:numId="24">
    <w:abstractNumId w:val="35"/>
  </w:num>
  <w:num w:numId="25">
    <w:abstractNumId w:val="27"/>
  </w:num>
  <w:num w:numId="26">
    <w:abstractNumId w:val="4"/>
  </w:num>
  <w:num w:numId="27">
    <w:abstractNumId w:val="31"/>
  </w:num>
  <w:num w:numId="28">
    <w:abstractNumId w:val="34"/>
  </w:num>
  <w:num w:numId="29">
    <w:abstractNumId w:val="32"/>
  </w:num>
  <w:num w:numId="30">
    <w:abstractNumId w:val="2"/>
  </w:num>
  <w:num w:numId="31">
    <w:abstractNumId w:val="7"/>
  </w:num>
  <w:num w:numId="32">
    <w:abstractNumId w:val="23"/>
  </w:num>
  <w:num w:numId="33">
    <w:abstractNumId w:val="11"/>
  </w:num>
  <w:num w:numId="34">
    <w:abstractNumId w:val="36"/>
  </w:num>
  <w:num w:numId="35">
    <w:abstractNumId w:val="29"/>
  </w:num>
  <w:num w:numId="36">
    <w:abstractNumId w:val="20"/>
  </w:num>
  <w:num w:numId="37">
    <w:abstractNumId w:val="6"/>
  </w:num>
  <w:num w:numId="38">
    <w:abstractNumId w:val="16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5221311-AF7B-40CB-B184-24D690C7CED5}"/>
  </w:docVars>
  <w:rsids>
    <w:rsidRoot w:val="00FE2673"/>
    <w:rsid w:val="000020EE"/>
    <w:rsid w:val="000106F4"/>
    <w:rsid w:val="000120F2"/>
    <w:rsid w:val="0003169E"/>
    <w:rsid w:val="000A348B"/>
    <w:rsid w:val="000A6896"/>
    <w:rsid w:val="000B3B19"/>
    <w:rsid w:val="000B537C"/>
    <w:rsid w:val="000D0062"/>
    <w:rsid w:val="000F16CB"/>
    <w:rsid w:val="00115A0F"/>
    <w:rsid w:val="00131EEF"/>
    <w:rsid w:val="0013235A"/>
    <w:rsid w:val="00134BB4"/>
    <w:rsid w:val="0018198D"/>
    <w:rsid w:val="00185E98"/>
    <w:rsid w:val="001860E5"/>
    <w:rsid w:val="00193C6D"/>
    <w:rsid w:val="001950F0"/>
    <w:rsid w:val="001A5CE3"/>
    <w:rsid w:val="001C7A6F"/>
    <w:rsid w:val="001E2C9F"/>
    <w:rsid w:val="001F068F"/>
    <w:rsid w:val="002064B0"/>
    <w:rsid w:val="002208EF"/>
    <w:rsid w:val="00251380"/>
    <w:rsid w:val="00260295"/>
    <w:rsid w:val="002917DC"/>
    <w:rsid w:val="002A78EA"/>
    <w:rsid w:val="002B7F97"/>
    <w:rsid w:val="002C4AED"/>
    <w:rsid w:val="002C6D8E"/>
    <w:rsid w:val="00300E40"/>
    <w:rsid w:val="00304A81"/>
    <w:rsid w:val="00304C17"/>
    <w:rsid w:val="00322E18"/>
    <w:rsid w:val="00346DCE"/>
    <w:rsid w:val="00372E04"/>
    <w:rsid w:val="00377B6C"/>
    <w:rsid w:val="00383C89"/>
    <w:rsid w:val="003C7521"/>
    <w:rsid w:val="003D4E89"/>
    <w:rsid w:val="003E3FD9"/>
    <w:rsid w:val="003F404C"/>
    <w:rsid w:val="004205E1"/>
    <w:rsid w:val="0042318D"/>
    <w:rsid w:val="004336CB"/>
    <w:rsid w:val="00437334"/>
    <w:rsid w:val="004457E9"/>
    <w:rsid w:val="00483B2B"/>
    <w:rsid w:val="00485E00"/>
    <w:rsid w:val="004A14AE"/>
    <w:rsid w:val="004A188E"/>
    <w:rsid w:val="004F5221"/>
    <w:rsid w:val="005158AE"/>
    <w:rsid w:val="005414F6"/>
    <w:rsid w:val="0055134E"/>
    <w:rsid w:val="00556F01"/>
    <w:rsid w:val="005638BB"/>
    <w:rsid w:val="00586636"/>
    <w:rsid w:val="0058677C"/>
    <w:rsid w:val="005905E7"/>
    <w:rsid w:val="00592C29"/>
    <w:rsid w:val="005A2C29"/>
    <w:rsid w:val="005B6D59"/>
    <w:rsid w:val="005C6C75"/>
    <w:rsid w:val="005D6690"/>
    <w:rsid w:val="005E1163"/>
    <w:rsid w:val="005F037D"/>
    <w:rsid w:val="00657962"/>
    <w:rsid w:val="00657BFF"/>
    <w:rsid w:val="0066279C"/>
    <w:rsid w:val="00670E62"/>
    <w:rsid w:val="006D020C"/>
    <w:rsid w:val="006E53A1"/>
    <w:rsid w:val="006E62E0"/>
    <w:rsid w:val="006E73D2"/>
    <w:rsid w:val="006F0D06"/>
    <w:rsid w:val="00722B96"/>
    <w:rsid w:val="007575DE"/>
    <w:rsid w:val="00774D5C"/>
    <w:rsid w:val="00784D37"/>
    <w:rsid w:val="0079312A"/>
    <w:rsid w:val="007F3CFB"/>
    <w:rsid w:val="00805C66"/>
    <w:rsid w:val="008370A0"/>
    <w:rsid w:val="008515F5"/>
    <w:rsid w:val="00865EF8"/>
    <w:rsid w:val="008734F8"/>
    <w:rsid w:val="00882FFD"/>
    <w:rsid w:val="00887D49"/>
    <w:rsid w:val="008B2A34"/>
    <w:rsid w:val="008E1D58"/>
    <w:rsid w:val="008E3910"/>
    <w:rsid w:val="008E7A6A"/>
    <w:rsid w:val="008F1300"/>
    <w:rsid w:val="008F4F2F"/>
    <w:rsid w:val="00902BCC"/>
    <w:rsid w:val="00904E60"/>
    <w:rsid w:val="00915A1A"/>
    <w:rsid w:val="0093251B"/>
    <w:rsid w:val="009472E4"/>
    <w:rsid w:val="00955DB8"/>
    <w:rsid w:val="00971666"/>
    <w:rsid w:val="00977F8D"/>
    <w:rsid w:val="009D76D2"/>
    <w:rsid w:val="009E1DCD"/>
    <w:rsid w:val="00A0072C"/>
    <w:rsid w:val="00A007BF"/>
    <w:rsid w:val="00A1569E"/>
    <w:rsid w:val="00A26079"/>
    <w:rsid w:val="00A73BC1"/>
    <w:rsid w:val="00A75B7C"/>
    <w:rsid w:val="00A813EB"/>
    <w:rsid w:val="00AA4B16"/>
    <w:rsid w:val="00AB109C"/>
    <w:rsid w:val="00AC3397"/>
    <w:rsid w:val="00AC3712"/>
    <w:rsid w:val="00AC5BB8"/>
    <w:rsid w:val="00AC741C"/>
    <w:rsid w:val="00AD4468"/>
    <w:rsid w:val="00AE67C0"/>
    <w:rsid w:val="00B41629"/>
    <w:rsid w:val="00B47D30"/>
    <w:rsid w:val="00B6751F"/>
    <w:rsid w:val="00B936C2"/>
    <w:rsid w:val="00BB5CCB"/>
    <w:rsid w:val="00BF1126"/>
    <w:rsid w:val="00C02CF3"/>
    <w:rsid w:val="00C142D1"/>
    <w:rsid w:val="00C52279"/>
    <w:rsid w:val="00C7479A"/>
    <w:rsid w:val="00C90E20"/>
    <w:rsid w:val="00C93C9B"/>
    <w:rsid w:val="00CD617A"/>
    <w:rsid w:val="00CF5E83"/>
    <w:rsid w:val="00D109B6"/>
    <w:rsid w:val="00D20641"/>
    <w:rsid w:val="00D27181"/>
    <w:rsid w:val="00D4135E"/>
    <w:rsid w:val="00D46338"/>
    <w:rsid w:val="00D57155"/>
    <w:rsid w:val="00D723EB"/>
    <w:rsid w:val="00D94DD7"/>
    <w:rsid w:val="00DB4C4A"/>
    <w:rsid w:val="00DB7786"/>
    <w:rsid w:val="00DD1235"/>
    <w:rsid w:val="00DD729F"/>
    <w:rsid w:val="00DF77FD"/>
    <w:rsid w:val="00E21CE7"/>
    <w:rsid w:val="00E25AC1"/>
    <w:rsid w:val="00E402F0"/>
    <w:rsid w:val="00E462A0"/>
    <w:rsid w:val="00E57F4E"/>
    <w:rsid w:val="00E83F13"/>
    <w:rsid w:val="00E96B5E"/>
    <w:rsid w:val="00EB418F"/>
    <w:rsid w:val="00EB4980"/>
    <w:rsid w:val="00ED493E"/>
    <w:rsid w:val="00F03DCD"/>
    <w:rsid w:val="00F1256A"/>
    <w:rsid w:val="00F15154"/>
    <w:rsid w:val="00F22D81"/>
    <w:rsid w:val="00F300AC"/>
    <w:rsid w:val="00F417CA"/>
    <w:rsid w:val="00F47FB7"/>
    <w:rsid w:val="00F55C22"/>
    <w:rsid w:val="00F63862"/>
    <w:rsid w:val="00F83C11"/>
    <w:rsid w:val="00F9114F"/>
    <w:rsid w:val="00F9555D"/>
    <w:rsid w:val="00FB12C6"/>
    <w:rsid w:val="00FB417F"/>
    <w:rsid w:val="00FD6881"/>
    <w:rsid w:val="00FD7AF4"/>
    <w:rsid w:val="00FE2673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7C118F"/>
  <w15:chartTrackingRefBased/>
  <w15:docId w15:val="{86C82BCE-0AD9-4A28-BEA1-7C3E7843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FB7"/>
    <w:pPr>
      <w:ind w:left="720"/>
      <w:contextualSpacing/>
    </w:pPr>
  </w:style>
  <w:style w:type="character" w:customStyle="1" w:styleId="Nagwek1">
    <w:name w:val="Nagłówek #1_"/>
    <w:basedOn w:val="Domylnaczcionkaakapitu"/>
    <w:rsid w:val="00657962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0">
    <w:name w:val="Nagłówek #1"/>
    <w:basedOn w:val="Nagwek1"/>
    <w:rsid w:val="0065796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sid w:val="000A348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gwek113pt">
    <w:name w:val="Nagłówek #1 + 13 pt"/>
    <w:basedOn w:val="Nagwek1"/>
    <w:rsid w:val="000A348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rsid w:val="000A348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0A348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0A348B"/>
    <w:rPr>
      <w:rFonts w:ascii="Calibri" w:eastAsia="Calibri" w:hAnsi="Calibri" w:cs="Calibri"/>
      <w:i/>
      <w:iCs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0A348B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4">
    <w:name w:val="Tekst treści (4)"/>
    <w:basedOn w:val="Normalny"/>
    <w:link w:val="Teksttreci4Exact"/>
    <w:rsid w:val="000A348B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Teksttreci50">
    <w:name w:val="Tekst treści (5)"/>
    <w:basedOn w:val="Normalny"/>
    <w:link w:val="Teksttreci5"/>
    <w:rsid w:val="000A348B"/>
    <w:pPr>
      <w:widowControl w:val="0"/>
      <w:shd w:val="clear" w:color="auto" w:fill="FFFFFF"/>
      <w:spacing w:before="300" w:after="0" w:line="281" w:lineRule="exact"/>
      <w:ind w:hanging="340"/>
      <w:jc w:val="both"/>
    </w:pPr>
    <w:rPr>
      <w:rFonts w:ascii="Calibri" w:eastAsia="Calibri" w:hAnsi="Calibri" w:cs="Calibri"/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6E62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62E0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6E62E0"/>
    <w:rPr>
      <w:vertAlign w:val="superscript"/>
    </w:rPr>
  </w:style>
  <w:style w:type="character" w:customStyle="1" w:styleId="Stopka">
    <w:name w:val="Stopka_"/>
    <w:basedOn w:val="Domylnaczcionkaakapitu"/>
    <w:link w:val="Stopka1"/>
    <w:rsid w:val="006E62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6E62E0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sid w:val="00B936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B936C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Nagwek3">
    <w:name w:val="Nagłówek #3_"/>
    <w:basedOn w:val="Domylnaczcionkaakapitu"/>
    <w:rsid w:val="00B936C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0">
    <w:name w:val="Nagłówek #3"/>
    <w:basedOn w:val="Nagwek3"/>
    <w:rsid w:val="00B936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B936C2"/>
    <w:pPr>
      <w:widowControl w:val="0"/>
      <w:shd w:val="clear" w:color="auto" w:fill="FFFFFF"/>
      <w:spacing w:after="660" w:line="306" w:lineRule="exact"/>
      <w:jc w:val="right"/>
    </w:pPr>
    <w:rPr>
      <w:rFonts w:ascii="Calibri" w:eastAsia="Calibri" w:hAnsi="Calibri" w:cs="Calibri"/>
      <w:b/>
      <w:bCs/>
    </w:rPr>
  </w:style>
  <w:style w:type="paragraph" w:customStyle="1" w:styleId="Nagwek20">
    <w:name w:val="Nagłówek #2"/>
    <w:basedOn w:val="Normalny"/>
    <w:link w:val="Nagwek2"/>
    <w:rsid w:val="00B936C2"/>
    <w:pPr>
      <w:widowControl w:val="0"/>
      <w:shd w:val="clear" w:color="auto" w:fill="FFFFFF"/>
      <w:spacing w:before="660" w:after="300" w:line="364" w:lineRule="exact"/>
      <w:jc w:val="both"/>
      <w:outlineLvl w:val="1"/>
    </w:pPr>
    <w:rPr>
      <w:rFonts w:ascii="Calibri" w:eastAsia="Calibri" w:hAnsi="Calibri" w:cs="Calibri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86636"/>
    <w:rPr>
      <w:color w:val="0563C1" w:themeColor="hyperlink"/>
      <w:u w:val="single"/>
    </w:rPr>
  </w:style>
  <w:style w:type="character" w:customStyle="1" w:styleId="Teksttreci10">
    <w:name w:val="Tekst treści (10)_"/>
    <w:basedOn w:val="Domylnaczcionkaakapitu"/>
    <w:link w:val="Teksttreci100"/>
    <w:rsid w:val="00F9114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Nagwek52">
    <w:name w:val="Nagłówek #5 (2)_"/>
    <w:basedOn w:val="Domylnaczcionkaakapitu"/>
    <w:link w:val="Nagwek520"/>
    <w:rsid w:val="00F9114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F9114F"/>
    <w:rPr>
      <w:rFonts w:ascii="Calibri" w:eastAsia="Calibri" w:hAnsi="Calibri" w:cs="Calibri"/>
      <w:i/>
      <w:iCs/>
      <w:sz w:val="24"/>
      <w:szCs w:val="24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F9114F"/>
    <w:pPr>
      <w:widowControl w:val="0"/>
      <w:shd w:val="clear" w:color="auto" w:fill="FFFFFF"/>
      <w:spacing w:after="300" w:line="331" w:lineRule="exact"/>
      <w:jc w:val="right"/>
    </w:pPr>
    <w:rPr>
      <w:rFonts w:ascii="Calibri" w:eastAsia="Calibri" w:hAnsi="Calibri" w:cs="Calibri"/>
      <w:b/>
      <w:bCs/>
    </w:rPr>
  </w:style>
  <w:style w:type="paragraph" w:customStyle="1" w:styleId="Nagwek520">
    <w:name w:val="Nagłówek #5 (2)"/>
    <w:basedOn w:val="Normalny"/>
    <w:link w:val="Nagwek52"/>
    <w:rsid w:val="00F9114F"/>
    <w:pPr>
      <w:widowControl w:val="0"/>
      <w:shd w:val="clear" w:color="auto" w:fill="FFFFFF"/>
      <w:spacing w:before="300" w:after="480" w:line="0" w:lineRule="atLeast"/>
      <w:ind w:hanging="460"/>
      <w:outlineLvl w:val="4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120">
    <w:name w:val="Tekst treści (12)"/>
    <w:basedOn w:val="Normalny"/>
    <w:link w:val="Teksttreci12"/>
    <w:rsid w:val="00F9114F"/>
    <w:pPr>
      <w:widowControl w:val="0"/>
      <w:shd w:val="clear" w:color="auto" w:fill="FFFFFF"/>
      <w:spacing w:before="300" w:after="480" w:line="0" w:lineRule="atLeast"/>
      <w:jc w:val="both"/>
    </w:pPr>
    <w:rPr>
      <w:rFonts w:ascii="Calibri" w:eastAsia="Calibri" w:hAnsi="Calibri" w:cs="Calibri"/>
      <w:i/>
      <w:iCs/>
      <w:sz w:val="24"/>
      <w:szCs w:val="24"/>
    </w:rPr>
  </w:style>
  <w:style w:type="character" w:customStyle="1" w:styleId="Teksttreci25">
    <w:name w:val="Tekst treści (25)_"/>
    <w:basedOn w:val="Domylnaczcionkaakapitu"/>
    <w:link w:val="Teksttreci250"/>
    <w:rsid w:val="0055134E"/>
    <w:rPr>
      <w:rFonts w:ascii="Calibri" w:eastAsia="Calibri" w:hAnsi="Calibri" w:cs="Calibri"/>
      <w:i/>
      <w:iCs/>
      <w:shd w:val="clear" w:color="auto" w:fill="FFFFFF"/>
    </w:rPr>
  </w:style>
  <w:style w:type="character" w:customStyle="1" w:styleId="Teksttreci2526ptBezkursywy">
    <w:name w:val="Tekst treści (25) + 26 pt;Bez kursywy"/>
    <w:basedOn w:val="Teksttreci25"/>
    <w:rsid w:val="0055134E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paragraph" w:customStyle="1" w:styleId="Teksttreci250">
    <w:name w:val="Tekst treści (25)"/>
    <w:basedOn w:val="Normalny"/>
    <w:link w:val="Teksttreci25"/>
    <w:rsid w:val="0055134E"/>
    <w:pPr>
      <w:widowControl w:val="0"/>
      <w:shd w:val="clear" w:color="auto" w:fill="FFFFFF"/>
      <w:spacing w:before="300" w:after="480" w:line="0" w:lineRule="atLeast"/>
      <w:jc w:val="both"/>
    </w:pPr>
    <w:rPr>
      <w:rFonts w:ascii="Calibri" w:eastAsia="Calibri" w:hAnsi="Calibri" w:cs="Calibri"/>
      <w:i/>
      <w:iCs/>
    </w:rPr>
  </w:style>
  <w:style w:type="character" w:customStyle="1" w:styleId="Teksttreci40">
    <w:name w:val="Tekst treści (4)_"/>
    <w:basedOn w:val="Domylnaczcionkaakapitu"/>
    <w:locked/>
    <w:rsid w:val="00AC741C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414pt">
    <w:name w:val="Tekst treści (4) + 14 pt"/>
    <w:basedOn w:val="Teksttreci40"/>
    <w:rsid w:val="00AC741C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locked/>
    <w:rsid w:val="005A2C29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5A2C29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  <w:i/>
      <w:iCs/>
    </w:rPr>
  </w:style>
  <w:style w:type="character" w:customStyle="1" w:styleId="Nagwek33">
    <w:name w:val="Nagłówek #3 (3)_"/>
    <w:basedOn w:val="Domylnaczcionkaakapitu"/>
    <w:link w:val="Nagwek330"/>
    <w:locked/>
    <w:rsid w:val="005A2C2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330">
    <w:name w:val="Nagłówek #3 (3)"/>
    <w:basedOn w:val="Normalny"/>
    <w:link w:val="Nagwek33"/>
    <w:rsid w:val="005A2C29"/>
    <w:pPr>
      <w:widowControl w:val="0"/>
      <w:shd w:val="clear" w:color="auto" w:fill="FFFFFF"/>
      <w:spacing w:before="540" w:after="360" w:line="335" w:lineRule="exact"/>
      <w:jc w:val="both"/>
      <w:outlineLvl w:val="2"/>
    </w:pPr>
    <w:rPr>
      <w:rFonts w:ascii="Calibri" w:eastAsia="Calibri" w:hAnsi="Calibri" w:cs="Calibri"/>
      <w:b/>
      <w:bCs/>
    </w:rPr>
  </w:style>
  <w:style w:type="character" w:customStyle="1" w:styleId="Teksttreci7">
    <w:name w:val="Tekst treści (7)_"/>
    <w:basedOn w:val="Domylnaczcionkaakapitu"/>
    <w:link w:val="Teksttreci70"/>
    <w:locked/>
    <w:rsid w:val="005A2C2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5A2C29"/>
    <w:pPr>
      <w:widowControl w:val="0"/>
      <w:shd w:val="clear" w:color="auto" w:fill="FFFFFF"/>
      <w:spacing w:before="240" w:after="360" w:line="0" w:lineRule="atLeast"/>
      <w:ind w:hanging="260"/>
      <w:jc w:val="both"/>
    </w:pPr>
    <w:rPr>
      <w:rFonts w:ascii="Calibri" w:eastAsia="Calibri" w:hAnsi="Calibri" w:cs="Calibri"/>
      <w:b/>
      <w:bCs/>
    </w:rPr>
  </w:style>
  <w:style w:type="character" w:customStyle="1" w:styleId="Nagwek12">
    <w:name w:val="Nagłówek #1 (2)_"/>
    <w:basedOn w:val="Domylnaczcionkaakapitu"/>
    <w:link w:val="Nagwek120"/>
    <w:rsid w:val="00346DCE"/>
    <w:rPr>
      <w:rFonts w:ascii="Calibri" w:eastAsia="Calibri" w:hAnsi="Calibri" w:cs="Calibri"/>
      <w:i/>
      <w:iCs/>
      <w:sz w:val="36"/>
      <w:szCs w:val="36"/>
      <w:shd w:val="clear" w:color="auto" w:fill="FFFFFF"/>
    </w:rPr>
  </w:style>
  <w:style w:type="character" w:customStyle="1" w:styleId="Teksttreci412ptBezpogrubienia">
    <w:name w:val="Tekst treści (4) + 12 pt;Bez pogrubienia"/>
    <w:basedOn w:val="Teksttreci40"/>
    <w:rsid w:val="00346DCE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412pt">
    <w:name w:val="Tekst treści (4) + 12 pt"/>
    <w:basedOn w:val="Teksttreci40"/>
    <w:rsid w:val="00346DCE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346D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eksttreci2Pogrubienie">
    <w:name w:val="Tekst treści (2) + Pogrubienie"/>
    <w:basedOn w:val="Teksttreci2"/>
    <w:rsid w:val="00346D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Nagwek120">
    <w:name w:val="Nagłówek #1 (2)"/>
    <w:basedOn w:val="Normalny"/>
    <w:link w:val="Nagwek12"/>
    <w:rsid w:val="00346DCE"/>
    <w:pPr>
      <w:widowControl w:val="0"/>
      <w:shd w:val="clear" w:color="auto" w:fill="FFFFFF"/>
      <w:spacing w:after="540" w:line="0" w:lineRule="atLeast"/>
      <w:outlineLvl w:val="0"/>
    </w:pPr>
    <w:rPr>
      <w:rFonts w:ascii="Calibri" w:eastAsia="Calibri" w:hAnsi="Calibri" w:cs="Calibri"/>
      <w:i/>
      <w:iCs/>
      <w:sz w:val="36"/>
      <w:szCs w:val="36"/>
    </w:rPr>
  </w:style>
  <w:style w:type="character" w:customStyle="1" w:styleId="Teksttreci4Pogrubienie">
    <w:name w:val="Tekst treści (4) + Pogrubienie"/>
    <w:basedOn w:val="Teksttreci40"/>
    <w:rsid w:val="008F1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pl-PL" w:eastAsia="pl-PL" w:bidi="pl-PL"/>
    </w:rPr>
  </w:style>
  <w:style w:type="character" w:customStyle="1" w:styleId="Teksttreci4MSGothic15pt">
    <w:name w:val="Tekst treści (4) + MS Gothic;15 pt"/>
    <w:basedOn w:val="Teksttreci40"/>
    <w:rsid w:val="008F1300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pl-PL" w:eastAsia="pl-PL" w:bidi="pl-PL"/>
    </w:rPr>
  </w:style>
  <w:style w:type="character" w:customStyle="1" w:styleId="Teksttreci2MSGothic85ptSkala50">
    <w:name w:val="Tekst treści (2) + MS Gothic;8;5 pt;Skala 50%"/>
    <w:basedOn w:val="Teksttreci2"/>
    <w:rsid w:val="008F1300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50"/>
      <w:position w:val="0"/>
      <w:sz w:val="17"/>
      <w:szCs w:val="17"/>
      <w:u w:val="none"/>
      <w:lang w:val="zh-TW" w:eastAsia="zh-TW" w:bidi="zh-TW"/>
    </w:rPr>
  </w:style>
  <w:style w:type="character" w:customStyle="1" w:styleId="Teksttreci511pt">
    <w:name w:val="Tekst treści (5) + 11 pt"/>
    <w:basedOn w:val="Teksttreci5"/>
    <w:rsid w:val="008F130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D57155"/>
    <w:rPr>
      <w:b/>
      <w:bCs/>
    </w:rPr>
  </w:style>
  <w:style w:type="paragraph" w:styleId="Bezodstpw">
    <w:name w:val="No Spacing"/>
    <w:uiPriority w:val="1"/>
    <w:qFormat/>
    <w:rsid w:val="00D5715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7155"/>
    <w:rPr>
      <w:vertAlign w:val="superscript"/>
    </w:rPr>
  </w:style>
  <w:style w:type="paragraph" w:customStyle="1" w:styleId="msonormal0">
    <w:name w:val="msonormal"/>
    <w:basedOn w:val="Normalny"/>
    <w:rsid w:val="00DD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D729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D729F"/>
    <w:rPr>
      <w:rFonts w:ascii="Arial" w:eastAsia="Times New Roman" w:hAnsi="Arial" w:cs="Times New Roman"/>
      <w:sz w:val="24"/>
      <w:szCs w:val="24"/>
      <w:lang w:eastAsia="pl-PL"/>
    </w:rPr>
  </w:style>
  <w:style w:type="paragraph" w:styleId="Stopka0">
    <w:name w:val="footer"/>
    <w:basedOn w:val="Normalny"/>
    <w:link w:val="StopkaZnak"/>
    <w:uiPriority w:val="99"/>
    <w:unhideWhenUsed/>
    <w:rsid w:val="00DD729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0"/>
    <w:uiPriority w:val="99"/>
    <w:rsid w:val="00DD729F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rsid w:val="00DD7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4B0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670E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1311-AF7B-40CB-B184-24D690C7CED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F07CD1C-78EB-4087-953B-C564FAA5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2676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 Aleksandra</dc:creator>
  <cp:keywords/>
  <dc:description/>
  <cp:lastModifiedBy>Sela Aleksandra</cp:lastModifiedBy>
  <cp:revision>6</cp:revision>
  <cp:lastPrinted>2021-07-09T06:36:00Z</cp:lastPrinted>
  <dcterms:created xsi:type="dcterms:W3CDTF">2022-07-28T09:24:00Z</dcterms:created>
  <dcterms:modified xsi:type="dcterms:W3CDTF">2022-07-28T10:06:00Z</dcterms:modified>
</cp:coreProperties>
</file>